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111.png" ContentType="image/png"/>
  <Override PartName="/word/media/rId21.png" ContentType="image/png"/>
  <Override PartName="/word/media/rId40.png" ContentType="image/png"/>
  <Override PartName="/word/media/rId75.png" ContentType="image/png"/>
  <Override PartName="/word/media/rId80.png" ContentType="image/png"/>
  <Override PartName="/word/media/rId70.png" ContentType="image/png"/>
  <Override PartName="/word/media/rId65.png" ContentType="image/png"/>
  <Override PartName="/word/media/rId86.png" ContentType="image/png"/>
  <Override PartName="/word/media/rId116.png" ContentType="image/png"/>
  <Override PartName="/word/media/rId27.png" ContentType="image/png"/>
  <Override PartName="/word/media/rId98.png" ContentType="image/png"/>
  <Override PartName="/word/media/rId45.png" ContentType="image/png"/>
  <Override PartName="/word/media/rId32.png" ContentType="image/png"/>
  <Override PartName="/word/media/rId104.png" ContentType="image/png"/>
  <Override PartName="/word/media/rId9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 – Discriminating Seagrasses From Green Macroalgae in European Intertidal areas using high resolution multispectral drone imagery – Draft</w:t>
      </w:r>
    </w:p>
    <w:p>
      <w:pPr>
        <w:pStyle w:val="Author"/>
      </w:pPr>
      <w:r>
        <w:t xml:space="preserve">Simon Oiry</w:t>
      </w:r>
    </w:p>
    <w:p>
      <w:pPr>
        <w:pStyle w:val="Author"/>
      </w:pPr>
      <w:r>
        <w:t xml:space="preserve">Bede Ffinian Rowe Davies</w:t>
      </w:r>
    </w:p>
    <w:p>
      <w:pPr>
        <w:pStyle w:val="Author"/>
      </w:pPr>
      <w:r>
        <w:t xml:space="preserve">Ana I. Sousa</w:t>
      </w:r>
    </w:p>
    <w:p>
      <w:pPr>
        <w:pStyle w:val="Author"/>
      </w:pPr>
      <w:r>
        <w:t xml:space="preserve">Philippe Rosa</w:t>
      </w:r>
    </w:p>
    <w:p>
      <w:pPr>
        <w:pStyle w:val="Author"/>
      </w:pPr>
      <w:r>
        <w:t xml:space="preserve">Maria Laura Zoffoli</w:t>
      </w:r>
    </w:p>
    <w:p>
      <w:pPr>
        <w:pStyle w:val="Author"/>
      </w:pPr>
      <w:r>
        <w:t xml:space="preserve">Guillaume Brunier</w:t>
      </w:r>
    </w:p>
    <w:p>
      <w:pPr>
        <w:pStyle w:val="Author"/>
      </w:pPr>
      <w:r>
        <w:t xml:space="preserve">Pierre Gernez</w:t>
      </w:r>
    </w:p>
    <w:p>
      <w:pPr>
        <w:pStyle w:val="Author"/>
      </w:pPr>
      <w:r>
        <w:t xml:space="preserve">Laurent Barillé</w:t>
      </w:r>
    </w:p>
    <w:p>
      <w:pPr>
        <w:pStyle w:val="Date"/>
      </w:pPr>
      <w:r>
        <w:t xml:space="preserve">2024-11-12</w:t>
      </w:r>
    </w:p>
    <w:p>
      <w:pPr>
        <w:pStyle w:val="AbstractTitle"/>
      </w:pPr>
      <w:r>
        <w:t xml:space="preserve">Abstract</w:t>
      </w:r>
    </w:p>
    <w:p>
      <w:pPr>
        <w:pStyle w:val="Abstract"/>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extremly high spatial resolution; the low altitude flights were used to train a Neural Network classifier to discrimintate five taxonomic classes of intertidal vegetation: Magnoliopsida (Seagrass), Chlorophyceae (Green macroalgae), Phaeophyceae (Brown algae), Rhodophyceae (Red macroalgae) and benthic Bacillariophyceae (Diatoms), and validated using concomitant field measurements. Classification of drone imagery resulted in an overall accuracy of 94% across all sites and images, covering a total area of 467 000 m². The model exhibited an accuracy of 96.4% in identifying seagrass. In particular , seagrass and green algae can be discriminated. The very high spatial resolution of the drone data made it possible to assess the influence of spatial resolution on the classification outputs, showing a limited loss in seagrass detection up to about 10m. Altogether, out findings suggest that the Multi-Spectral Instrument (MSI) onboard Sentinel-2 offers a relevant trade-off between its spatial and spectral resolution, thus offering promising perspectives for satellite remote sensing of intertidal biodiversity over lager scales.</w:t>
      </w:r>
    </w:p>
    <w:bookmarkStart w:id="20" w:name="introduction"/>
    <w:p>
      <w:pPr>
        <w:pStyle w:val="Titre1"/>
      </w:pPr>
      <w:r>
        <w:t xml:space="preserve">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Corpsdetexte"/>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Corpsdetexte"/>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Corpsdetexte"/>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previous case studies were mostly limited to a low number of</w:t>
      </w:r>
      <w:r>
        <w:t xml:space="preserve"> </w:t>
      </w:r>
      <w:r>
        <w:rPr>
          <w:b/>
          <w:bCs/>
        </w:rPr>
        <w:t xml:space="preserve">drone</w:t>
      </w:r>
      <w:r>
        <w:t xml:space="preserve"> </w:t>
      </w:r>
      <w:r>
        <w:t xml:space="preserve">flights over a single study site, restricting the generalizability of their application over wider geographical scales</w:t>
      </w:r>
      <w:r>
        <w:t xml:space="preserve"> </w:t>
      </w:r>
      <w:r>
        <w:t xml:space="preserve">(Brunier et al., 2022; Collin et al., 2019; Román et al., 2021; Rossiter et al., 2020)</w:t>
      </w:r>
      <w:r>
        <w:t xml:space="preserve">.</w:t>
      </w:r>
      <w:r>
        <w:t xml:space="preserve"> </w:t>
      </w:r>
      <w:r>
        <w:rPr>
          <w:b/>
          <w:bCs/>
        </w:rPr>
        <w:t xml:space="preserve">These studies have demonstrated the capability of drones to map intertidal habitats, including seagrasses; however,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w:t>
      </w:r>
      <w:r>
        <w:t xml:space="preserve"> </w:t>
      </w:r>
      <w:r>
        <w:t xml:space="preserve">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w:t>
      </w:r>
      <w:r>
        <w:t xml:space="preserve"> </w:t>
      </w:r>
      <w:r>
        <w:rPr>
          <w:b/>
          <w:bCs/>
        </w:rPr>
        <w:t xml:space="preserve">This study is, therefore, among the first to quantify the effects of spatial resolution on the accuracy of drone-based macrophyte classification across a wide geographical scale, providing a framework for to better understand satellite-based classification challenges.</w:t>
      </w:r>
    </w:p>
    <w:bookmarkEnd w:id="20"/>
    <w:bookmarkStart w:id="58" w:name="material-methods"/>
    <w:p>
      <w:pPr>
        <w:pStyle w:val="Titre1"/>
      </w:pPr>
      <w:r>
        <w:t xml:space="preserve">2. Material &amp; Methods</w:t>
      </w:r>
    </w:p>
    <w:bookmarkStart w:id="26" w:name="study-sites"/>
    <w:p>
      <w:pPr>
        <w:pStyle w:val="Titre2"/>
      </w:pPr>
      <w:r>
        <w:t xml:space="preserve">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Lienhypertexte"/>
          </w:rPr>
          <w:t xml:space="preserve">Figure 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Lienhypertexte"/>
          </w:rPr>
          <w:t xml:space="preserve">Figure 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Lienhypertexte"/>
          </w:rPr>
          <w:t xml:space="preserve">Figure 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Start w:id="25" w:name="cell-fig-map"/>
    <w:tbl>
      <w:tblPr>
        <w:tblStyle w:val="Table"/>
        <w:tblW w:type="pct" w:w="5000"/>
        <w:tblLayout w:type="fixed"/>
        <w:tblLook w:firstRow="0" w:lastRow="0" w:firstColumn="0" w:lastColumn="0" w:noHBand="0" w:noVBand="0" w:val="0000"/>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areas represents the intertidal zone.</w:t>
            </w:r>
          </w:p>
          <w:bookmarkEnd w:id="24"/>
        </w:tc>
      </w:tr>
    </w:tbl>
    <w:bookmarkEnd w:id="25"/>
    <w:bookmarkEnd w:id="26"/>
    <w:bookmarkStart w:id="38" w:name="field-sampling"/>
    <w:p>
      <w:pPr>
        <w:pStyle w:val="Titre2"/>
      </w:pPr>
      <w:r>
        <w:t xml:space="preserve">2.2 Field sampling</w:t>
      </w:r>
    </w:p>
    <w:bookmarkStart w:id="31" w:name="drone-acquisition"/>
    <w:p>
      <w:pPr>
        <w:pStyle w:val="Titre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Lienhypertexte"/>
          </w:rPr>
          <w:t xml:space="preserve">Table 1</w:t>
        </w:r>
      </w:hyperlink>
      <w:r>
        <w:t xml:space="preserve">).</w:t>
      </w:r>
      <w:r>
        <w:t xml:space="preserve"> </w:t>
      </w:r>
      <w:r>
        <w:rPr>
          <w:b/>
          <w:bCs/>
        </w:rPr>
        <w:t xml:space="preserve">Low altitude flights were used as training dataset for a neural network model while high altitude flight were used for validation.</w:t>
      </w:r>
    </w:p>
    <w:tbl>
      <w:tblPr>
        <w:tblStyle w:val="Table"/>
        <w:tblW w:type="pct" w:w="5000"/>
        <w:tblLayout w:type="fixed"/>
        <w:tblLook w:firstRow="0" w:lastRow="0" w:firstColumn="0" w:lastColumn="0" w:noHBand="0" w:noVBand="0" w:val="0000"/>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943600" cy="2607746"/>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943600" cy="2607746"/>
                          </a:xfrm>
                          <a:prstGeom prst="rect">
                            <a:avLst/>
                          </a:prstGeom>
                          <a:noFill/>
                          <a:ln w="9525">
                            <a:noFill/>
                            <a:headEnd/>
                            <a:tailEnd/>
                          </a:ln>
                        </pic:spPr>
                      </pic:pic>
                    </a:graphicData>
                  </a:graphic>
                </wp:inline>
              </w:drawing>
            </w:r>
          </w:p>
          <w:bookmarkEnd w:id="30"/>
        </w:tc>
      </w:tr>
    </w:tbl>
    <w:bookmarkEnd w:id="31"/>
    <w:bookmarkStart w:id="37" w:name="ground-control-points"/>
    <w:p>
      <w:pPr>
        <w:pStyle w:val="Titre3"/>
      </w:pPr>
      <w:r>
        <w:t xml:space="preserve">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 Bacillariophyceae (unicellular benthic diatoms forming biofilms at the sediment surface during low tide,</w:t>
      </w:r>
      <w:r>
        <w:t xml:space="preserve"> </w:t>
      </w:r>
      <w:r>
        <w:rPr>
          <w:b/>
          <w:bCs/>
        </w:rPr>
        <w:t xml:space="preserve">ranging in size from small patches (m²) to entire mudflats (km²)</w:t>
      </w:r>
      <w:r>
        <w:t xml:space="preserve">; henceforth: Diatoms), Phaeophyceae (henceforth: brown macroalgae), Magnoliopsida (henceforth: Seagrasses), Chlorophyceae (henceforth: Green macroalgae) and Rhodophyceae (henceforth: red macroalgae) (</w:t>
      </w:r>
      <w:hyperlink w:anchor="fig-vegetation">
        <w:r>
          <w:rPr>
            <w:rStyle w:val="Lienhypertexte"/>
          </w:rPr>
          <w:t xml:space="preserve">Figure 2</w:t>
        </w:r>
      </w:hyperlink>
      <w:r>
        <w:t xml:space="preserv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bookmarkStart w:id="36" w:name="cell-fig-vegetation"/>
    <w:tbl>
      <w:tblPr>
        <w:tblStyle w:val="Table"/>
        <w:tblW w:type="pct" w:w="5000"/>
        <w:tblLayout w:type="fixed"/>
        <w:tblLook w:firstRow="0" w:lastRow="0" w:firstColumn="0" w:lastColumn="0" w:noHBand="0" w:noVBand="0" w:val="0000"/>
      </w:tblPr>
      <w:tblGrid>
        <w:gridCol w:w="7920"/>
      </w:tblGrid>
      <w:tr>
        <w:tc>
          <w:tcPr/>
          <w:bookmarkStart w:id="35" w:name="fig-vegetation"/>
          <w:p>
            <w:pPr>
              <w:pStyle w:val="Compact"/>
              <w:jc w:val="center"/>
            </w:pPr>
            <w:r>
              <w:drawing>
                <wp:inline>
                  <wp:extent cx="5943600" cy="4261933"/>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5943600" cy="4261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(Diatoms - MPB).</w:t>
            </w:r>
            <w:r>
              <w:t xml:space="preserve"> </w:t>
            </w:r>
            <w:r>
              <w:rPr>
                <w:b/>
                <w:bCs/>
              </w:rPr>
              <w:t xml:space="preserve">Classes were identified following the World register of Marine species.</w:t>
            </w:r>
          </w:p>
          <w:bookmarkEnd w:id="35"/>
        </w:tc>
      </w:tr>
    </w:tbl>
    <w:bookmarkEnd w:id="36"/>
    <w:bookmarkEnd w:id="37"/>
    <w:bookmarkEnd w:id="38"/>
    <w:bookmarkStart w:id="39" w:name="drone-processing"/>
    <w:p>
      <w:pPr>
        <w:pStyle w:val="Titre2"/>
      </w:pPr>
      <w:r>
        <w:t xml:space="preserve">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of each image and between overlapping images in order to obtain a sparse point cloud. This cloud was cleaned using a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 altitude drone flights produced ortho-images with a very high spatial resolution (8 mm per pixel), making it efficient to visually distinguish between the various types of vegetation. High altitude flights allowed to cover larger areas and produced images with a pixel size of 80 mm (</w:t>
      </w:r>
      <w:hyperlink w:anchor="tbl-flights">
        <w:r>
          <w:rPr>
            <w:rStyle w:val="Lienhypertexte"/>
          </w:rPr>
          <w:t xml:space="preserve">Table 1</w:t>
        </w:r>
      </w:hyperlink>
      <w:r>
        <w:t xml:space="preserve">).</w:t>
      </w:r>
    </w:p>
    <w:bookmarkEnd w:id="39"/>
    <w:bookmarkStart w:id="54" w:name="general-workflow"/>
    <w:p>
      <w:pPr>
        <w:pStyle w:val="Titre2"/>
      </w:pPr>
      <w:r>
        <w:t xml:space="preserve">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Lienhypertexte"/>
          </w:rPr>
          <w:t xml:space="preserve">Figure 2</w:t>
        </w:r>
      </w:hyperlink>
      <w:r>
        <w:t xml:space="preserve"> </w:t>
      </w:r>
      <w:r>
        <w:t xml:space="preserve">F). To overcome this challenge, a deep learning classification method was trained, validated, and applied to each drone flight (</w:t>
      </w:r>
      <w:hyperlink w:anchor="fig-workflow">
        <w:r>
          <w:rPr>
            <w:rStyle w:val="Lienhypertexte"/>
          </w:rPr>
          <w:t xml:space="preserve">Figure 3</w:t>
        </w:r>
      </w:hyperlink>
      <w:r>
        <w:t xml:space="preserve">).</w:t>
      </w:r>
    </w:p>
    <w:bookmarkStart w:id="44" w:name="cell-fig-workflow"/>
    <w:tbl>
      <w:tblPr>
        <w:tblStyle w:val="Table"/>
        <w:tblW w:type="pct" w:w="5000"/>
        <w:tblLayout w:type="fixed"/>
        <w:tblLook w:firstRow="0" w:lastRow="0" w:firstColumn="0" w:lastColumn="0" w:noHBand="0" w:noVBand="0" w:val="0000"/>
      </w:tblPr>
      <w:tblGrid>
        <w:gridCol w:w="7920"/>
      </w:tblGrid>
      <w:tr>
        <w:tc>
          <w:tcPr/>
          <w:bookmarkStart w:id="43" w:name="fig-workflow"/>
          <w:p>
            <w:pPr>
              <w:pStyle w:val="Compact"/>
              <w:jc w:val="center"/>
            </w:pPr>
            <w:r>
              <w:drawing>
                <wp:inline>
                  <wp:extent cx="5871732" cy="3452701"/>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871732"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bookmarkStart w:id="51" w:name="training-dataset-building"/>
    <w:p>
      <w:pPr>
        <w:pStyle w:val="Titre3"/>
      </w:pPr>
      <w:r>
        <w:t xml:space="preserve">2.4.1 Training dataset building</w:t>
      </w:r>
    </w:p>
    <w:tbl>
      <w:tblPr>
        <w:tblStyle w:val="Table"/>
        <w:tblW w:type="pct" w:w="5000"/>
        <w:tblLayout w:type="fixed"/>
        <w:tblLook w:firstRow="0" w:lastRow="0" w:firstColumn="0" w:lastColumn="0" w:noHBand="0" w:noVBand="0" w:val="0000"/>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943600" cy="2117594"/>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943600" cy="2117594"/>
                          </a:xfrm>
                          <a:prstGeom prst="rect">
                            <a:avLst/>
                          </a:prstGeom>
                          <a:noFill/>
                          <a:ln w="9525">
                            <a:noFill/>
                            <a:headEnd/>
                            <a:tailEnd/>
                          </a:ln>
                        </pic:spPr>
                      </pic:pic>
                    </a:graphicData>
                  </a:graphic>
                </wp:inline>
              </w:drawing>
            </w:r>
          </w:p>
          <w:bookmarkEnd w:id="48"/>
        </w:tc>
      </w:tr>
    </w:tbl>
    <w:p>
      <w:pPr>
        <w:pStyle w:val="Corpsdetexte"/>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diatoms, brown macroalgae and red macroalgae. Only data from the low-altitude flights (</w:t>
      </w:r>
      <w:hyperlink w:anchor="tbl-flights">
        <w:r>
          <w:rPr>
            <w:rStyle w:val="Lienhypertexte"/>
          </w:rPr>
          <w:t xml:space="preserve">Table 1</w:t>
        </w:r>
      </w:hyperlink>
      <w:r>
        <w:t xml:space="preserve">) were used for training because their 8 mm spatial resolution allowed to avoid spectral sub-pixel mixing and to accurately identify vegetation classes.</w:t>
      </w:r>
      <w:r>
        <w:t xml:space="preserve"> </w:t>
      </w:r>
      <w:r>
        <w:rPr>
          <w:b/>
          <w:bCs/>
        </w:rPr>
        <w:t xml:space="preserve">In the field, seagrasses displaying two distinct colors, each with a unique spectral signature, were observed. Careful attention was given to incorporating training pixels from both color types into the training dataset for the seagrass class. This approach was consistently applied to all classes within the model.</w:t>
      </w:r>
      <w:r>
        <w:t xml:space="preserve"> </w:t>
      </w:r>
      <w:r>
        <w:t xml:space="preserve">More than 418,000 pixels at 8 mm resolution from the 3 training flights were used to train the model (</w:t>
      </w:r>
      <w:hyperlink w:anchor="tbl-validationPX">
        <w:r>
          <w:rPr>
            <w:rStyle w:val="Lienhypertexte"/>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Lienhypertexte"/>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Lienhypertexte"/>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Corpsdetexte"/>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Corpsdetexte"/>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model-building"/>
    <w:p>
      <w:pPr>
        <w:pStyle w:val="Titre3"/>
      </w:pPr>
      <w:r>
        <w:t xml:space="preserve">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have a total of 26 054 trainable parameters. Parameters have been fine tuned using 12 epoch to minimize the error rate. This model has been called DISCOV, standing for Drone Intertidal Substrat Classification Of Vegetation.</w:t>
      </w:r>
    </w:p>
    <w:bookmarkEnd w:id="52"/>
    <w:bookmarkStart w:id="53" w:name="validation"/>
    <w:p>
      <w:pPr>
        <w:pStyle w:val="Titre3"/>
      </w:pPr>
      <w:r>
        <w:t xml:space="preserve">2.4.3 Validation</w:t>
      </w:r>
    </w:p>
    <w:p>
      <w:pPr>
        <w:pStyle w:val="FirstParagraph"/>
      </w:pPr>
      <w:r>
        <w:t xml:space="preserve">The workflow of this study revolves around two distinct flight heights (12 and 120 m,</w:t>
      </w:r>
      <w:r>
        <w:t xml:space="preserve"> </w:t>
      </w:r>
      <w:hyperlink w:anchor="fig-workflow">
        <w:r>
          <w:rPr>
            <w:rStyle w:val="Lienhypertexte"/>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and the Root Mean Square Error (RMSE) was computed to compare the difference bewteen the raw and standardised reflectance.</w:t>
      </w:r>
    </w:p>
    <w:p>
      <w:pPr>
        <w:pStyle w:val="Corpsdetexte"/>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Corpsdetexte"/>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Corpsdetexte"/>
      </w:pPr>
      <w:r>
        <w:t xml:space="preserve">All validation matrices were then aggregated to create an overall matrix</w:t>
      </w:r>
    </w:p>
    <w:bookmarkEnd w:id="53"/>
    <w:bookmarkEnd w:id="54"/>
    <w:bookmarkStart w:id="55" w:name="variable-importance"/>
    <w:p>
      <w:pPr>
        <w:pStyle w:val="Titre2"/>
      </w:pPr>
      <w:r>
        <w:t xml:space="preserve">2.5 Variable Importance</w:t>
      </w:r>
    </w:p>
    <w:p>
      <w:pPr>
        <w:pStyle w:val="FirstParagraph"/>
      </w:pPr>
      <w:r>
        <w:t xml:space="preserve">Variable Importance Plots (VIP) serve as a method to identify which predictors are important for predicting a specific class. Out of the 21 predictors utilized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5"/>
    <w:bookmarkStart w:id="56" w:name="Xbcfc78b2a1a5f3f77b74416c7c26a59711ad7f6"/>
    <w:p>
      <w:pPr>
        <w:pStyle w:val="Titre2"/>
      </w:pPr>
      <w:r>
        <w:t xml:space="preserve">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w:t>
      </w:r>
      <w:r>
        <w:t xml:space="preserve"> </w:t>
      </w:r>
      <w:r>
        <w:rPr>
          <w:b/>
          <w:bCs/>
        </w:rPr>
        <w:t xml:space="preserve">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Corpsdetexte"/>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(Diatoms, brown macroalgae, seagrass, green macroalgae and red macroalage). Sample vs fitted residuals and quartile-quartile graphics were assessed visually, to ensure assumption of the models used were met.</w:t>
      </w:r>
    </w:p>
    <w:bookmarkEnd w:id="56"/>
    <w:bookmarkStart w:id="57" w:name="Xb80c26d4e7d26e390b07274c04fd63576f6b171"/>
    <w:p>
      <w:pPr>
        <w:pStyle w:val="Titre2"/>
      </w:pPr>
      <w:r>
        <w:t xml:space="preserve">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helps to understand the minimum vegetation cover of a given class within a pixel necessary for the model to confidently predict that class.</w:t>
      </w:r>
    </w:p>
    <w:bookmarkEnd w:id="57"/>
    <w:bookmarkEnd w:id="58"/>
    <w:bookmarkStart w:id="110" w:name="results"/>
    <w:p>
      <w:pPr>
        <w:pStyle w:val="Titre1"/>
      </w:pPr>
      <w:r>
        <w:t xml:space="preserve">3. Results</w:t>
      </w:r>
    </w:p>
    <w:bookmarkStart w:id="64" w:name="Xf1ee785dcb5d546ca07f6c913dc8f3105a0e5cf"/>
    <w:p>
      <w:pPr>
        <w:pStyle w:val="Titre2"/>
      </w:pPr>
      <w:r>
        <w:t xml:space="preserve">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reflectance was compared. Overall there was a good agreement between the two altitudes (RMSE : 0.027 ;</w:t>
      </w:r>
      <w:r>
        <w:t xml:space="preserve"> </w:t>
      </w:r>
      <w:hyperlink w:anchor="fig-CompareRef">
        <w:r>
          <w:rPr>
            <w:rStyle w:val="Lienhypertexte"/>
          </w:rPr>
          <w:t xml:space="preserve">Figure 4</w:t>
        </w:r>
      </w:hyperlink>
      <w:r>
        <w:t xml:space="preserve">).</w:t>
      </w:r>
    </w:p>
    <w:bookmarkStart w:id="63" w:name="cell-fig-CompareRef"/>
    <w:tbl>
      <w:tblPr>
        <w:tblStyle w:val="Table"/>
        <w:tblW w:type="pct" w:w="5000"/>
        <w:tblLayout w:type="fixed"/>
        <w:tblLook w:firstRow="0" w:lastRow="0" w:firstColumn="0" w:lastColumn="0" w:noHBand="0" w:noVBand="0" w:val="0000"/>
      </w:tblPr>
      <w:tblGrid>
        <w:gridCol w:w="7920"/>
      </w:tblGrid>
      <w:tr>
        <w:tc>
          <w:tcPr/>
          <w:bookmarkStart w:id="62" w:name="fig-CompareRef"/>
          <w:p>
            <w:pPr>
              <w:pStyle w:val="Compact"/>
              <w:jc w:val="center"/>
            </w:pPr>
            <w:r>
              <w:drawing>
                <wp:inline>
                  <wp:extent cx="5943600" cy="2552342"/>
                  <wp:effectExtent b="0" l="0" r="0" t="0"/>
                  <wp:docPr descr="" title="" id="60" name="Picture"/>
                  <a:graphic>
                    <a:graphicData uri="http://schemas.openxmlformats.org/drawingml/2006/picture">
                      <pic:pic>
                        <pic:nvPicPr>
                          <pic:cNvPr descr="./Figures/High_res/Compare_reflectance_both.png" id="61" name="Picture"/>
                          <pic:cNvPicPr>
                            <a:picLocks noChangeArrowheads="1" noChangeAspect="1"/>
                          </pic:cNvPicPr>
                        </pic:nvPicPr>
                        <pic:blipFill>
                          <a:blip r:embed="rId59"/>
                          <a:stretch>
                            <a:fillRect/>
                          </a:stretch>
                        </pic:blipFill>
                        <pic:spPr bwMode="auto">
                          <a:xfrm>
                            <a:off x="0" y="0"/>
                            <a:ext cx="5943600" cy="2552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Comparison of reflectance retrieved from both low-altitude and high-altitude flights over a common area. The black dashed line represents a 1 to 1 relationship. Left (A) plots raw data and right (B) plots standardized data (</w:t>
            </w:r>
            <w:hyperlink w:anchor="eq-std">
              <w:r>
                <w:rPr>
                  <w:rStyle w:val="Lienhypertexte"/>
                </w:rPr>
                <w:t xml:space="preserve">Equation 1</w:t>
              </w:r>
            </w:hyperlink>
            <w:r>
              <w:t xml:space="preserve">).</w:t>
            </w:r>
          </w:p>
          <w:bookmarkEnd w:id="62"/>
        </w:tc>
      </w:tr>
    </w:tbl>
    <w:bookmarkEnd w:id="63"/>
    <w:p>
      <w:pPr>
        <w:pStyle w:val="Corpsdetexte"/>
      </w:pPr>
      <w:r>
        <w:t xml:space="preserve">There was a slight underestimation for raw reflectance values in the high-altitude flight, particularly for higher reflectance values (</w:t>
      </w:r>
      <w:hyperlink w:anchor="fig-CompareRef">
        <w:r>
          <w:rPr>
            <w:rStyle w:val="Lienhypertexte"/>
          </w:rPr>
          <w:t xml:space="preserve">Figure 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Lienhypertexte"/>
          </w:rPr>
          <w:t xml:space="preserve">Equation 1</w:t>
        </w:r>
      </w:hyperlink>
      <w:r>
        <w:t xml:space="preserve"> </w:t>
      </w:r>
      <w:r>
        <w:t xml:space="preserve">;</w:t>
      </w:r>
      <w:r>
        <w:t xml:space="preserve"> </w:t>
      </w:r>
      <w:hyperlink w:anchor="fig-CompareRef">
        <w:r>
          <w:rPr>
            <w:rStyle w:val="Lienhypertexte"/>
          </w:rPr>
          <w:t xml:space="preserve">Figure 4</w:t>
        </w:r>
      </w:hyperlink>
      <w:r>
        <w:t xml:space="preserve"> </w:t>
      </w:r>
      <w:r>
        <w:t xml:space="preserve">B).</w:t>
      </w:r>
    </w:p>
    <w:bookmarkEnd w:id="64"/>
    <w:bookmarkStart w:id="85" w:name="classification"/>
    <w:p>
      <w:pPr>
        <w:pStyle w:val="Titre2"/>
      </w:pPr>
      <w:r>
        <w:t xml:space="preserve">3.2 Classification</w:t>
      </w:r>
    </w:p>
    <w:p>
      <w:pPr>
        <w:pStyle w:val="FirstParagraph"/>
      </w:pPr>
      <w:r>
        <w:t xml:space="preserve">Each drone flight was used to produce a prediction map, as well as a probability map that indicates the model derived probability of the selected class for every pixel. The low-altitude flight conducted in Gafanha, Portugal, represented the site with the highest complexity (</w:t>
      </w:r>
      <w:hyperlink w:anchor="fig-GafLow">
        <w:r>
          <w:rPr>
            <w:rStyle w:val="Lienhypertexte"/>
          </w:rPr>
          <w:t xml:space="preserve">Figure 5</w:t>
        </w:r>
      </w:hyperlink>
      <w:r>
        <w:t xml:space="preserve">). Among the five vegetation classes on which the model was trained, four were present on this site, with green and red macroalgae mixed with a seagrass meadow. There was also diatoms forming biofilms on bare sediment surface. Although the seagrass was solely composed of a single specie,</w:t>
      </w:r>
      <w:r>
        <w:t xml:space="preserve"> </w:t>
      </w:r>
      <w:r>
        <w:rPr>
          <w:i/>
          <w:iCs/>
        </w:rPr>
        <w:t xml:space="preserve">Zostera noltei</w:t>
      </w:r>
      <w:r>
        <w:t xml:space="preserve">, various colors of this specie could be observed from dark green (corresponding to healthy leaves) to brown (when leaves are senescent or have an altered pigment composition). Regardless of the variation of color, the class Magnoliopsida (seagrass) was accurately predicted by the model (F1 score of 0.96 at that site).</w:t>
      </w:r>
    </w:p>
    <w:bookmarkStart w:id="69" w:name="cell-fig-GafLow"/>
    <w:tbl>
      <w:tblPr>
        <w:tblStyle w:val="Table"/>
        <w:tblW w:type="pct" w:w="5000"/>
        <w:tblLayout w:type="fixed"/>
        <w:tblLook w:firstRow="0" w:lastRow="0" w:firstColumn="0" w:lastColumn="0" w:noHBand="0" w:noVBand="0" w:val="0000"/>
      </w:tblPr>
      <w:tblGrid>
        <w:gridCol w:w="7920"/>
      </w:tblGrid>
      <w:tr>
        <w:tc>
          <w:tcPr/>
          <w:bookmarkStart w:id="68" w:name="fig-GafLow"/>
          <w:p>
            <w:pPr>
              <w:pStyle w:val="Compact"/>
              <w:jc w:val="center"/>
            </w:pPr>
            <w:r>
              <w:drawing>
                <wp:inline>
                  <wp:extent cx="5943600" cy="3124260"/>
                  <wp:effectExtent b="0" l="0" r="0" t="0"/>
                  <wp:docPr descr="" title="" id="66" name="Picture"/>
                  <a:graphic>
                    <a:graphicData uri="http://schemas.openxmlformats.org/drawingml/2006/picture">
                      <pic:pic>
                        <pic:nvPicPr>
                          <pic:cNvPr descr="./Figures/Low_res/Maps%20Pred/FigX-Gaf_Low_Pred.png" id="67" name="Picture"/>
                          <pic:cNvPicPr>
                            <a:picLocks noChangeArrowheads="1" noChangeAspect="1"/>
                          </pic:cNvPicPr>
                        </pic:nvPicPr>
                        <pic:blipFill>
                          <a:blip r:embed="rId65"/>
                          <a:stretch>
                            <a:fillRect/>
                          </a:stretch>
                        </pic:blipFill>
                        <pic:spPr bwMode="auto">
                          <a:xfrm>
                            <a:off x="0" y="0"/>
                            <a:ext cx="5943600" cy="31242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low altitude flight of Gafanha, Portugal. The total extent of this flight was 3000 m² with a resolution of 8 mm per pixel. Background colors indicate intertidal area (Light Green) and land area (Light Grey). The zoom covers an area equivalent to a 10-meter Sentinel-2 pixel size.</w:t>
            </w:r>
          </w:p>
          <w:bookmarkEnd w:id="68"/>
        </w:tc>
      </w:tr>
    </w:tbl>
    <w:bookmarkEnd w:id="69"/>
    <w:p>
      <w:pPr>
        <w:pStyle w:val="Corpsdetexte"/>
      </w:pPr>
      <w:r>
        <w:t xml:space="preserve">The high-altitude flight over Gafanha covered a total area of ~1 km² (</w:t>
      </w:r>
      <w:hyperlink w:anchor="fig-GafHigh">
        <w:r>
          <w:rPr>
            <w:rStyle w:val="Lienhypertexte"/>
          </w:rPr>
          <w:t xml:space="preserve">Figure 6</w:t>
        </w:r>
      </w:hyperlink>
      <w:r>
        <w:t xml:space="preserve">). A channel contouring a small island was masked in the prediction map. Most of vegetation area was classified as seagrass by the model, including patches with discolored leaves. Only a few pixels were classified as green macroalgae (F1 score of 0.55). Patches of red macroalgae were correctly classified (F1 score of 0.85). In the northern part of the site and near the land eadges,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bookmarkStart w:id="74" w:name="cell-fig-GafHigh"/>
    <w:tbl>
      <w:tblPr>
        <w:tblStyle w:val="Table"/>
        <w:tblW w:type="pct" w:w="5000"/>
        <w:tblLayout w:type="fixed"/>
        <w:tblLook w:firstRow="0" w:lastRow="0" w:firstColumn="0" w:lastColumn="0" w:noHBand="0" w:noVBand="0" w:val="0000"/>
      </w:tblPr>
      <w:tblGrid>
        <w:gridCol w:w="7920"/>
      </w:tblGrid>
      <w:tr>
        <w:tc>
          <w:tcPr/>
          <w:bookmarkStart w:id="73" w:name="fig-GafHigh"/>
          <w:p>
            <w:pPr>
              <w:pStyle w:val="Compact"/>
              <w:jc w:val="center"/>
            </w:pPr>
            <w:r>
              <w:drawing>
                <wp:inline>
                  <wp:extent cx="5943600" cy="5050577"/>
                  <wp:effectExtent b="0" l="0" r="0" t="0"/>
                  <wp:docPr descr="" title="" id="71" name="Picture"/>
                  <a:graphic>
                    <a:graphicData uri="http://schemas.openxmlformats.org/drawingml/2006/picture">
                      <pic:pic>
                        <pic:nvPicPr>
                          <pic:cNvPr descr="./Figures/Low_res/Maps%20Pred/FigX-Gaf_High_Pred1.png" id="72" name="Picture"/>
                          <pic:cNvPicPr>
                            <a:picLocks noChangeArrowheads="1" noChangeAspect="1"/>
                          </pic:cNvPicPr>
                        </pic:nvPicPr>
                        <pic:blipFill>
                          <a:blip r:embed="rId70"/>
                          <a:stretch>
                            <a:fillRect/>
                          </a:stretch>
                        </pic:blipFill>
                        <pic:spPr bwMode="auto">
                          <a:xfrm>
                            <a:off x="0" y="0"/>
                            <a:ext cx="5943600" cy="50505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outline shows the extent of the low altitude flight of Gafanha presented in</w:t>
            </w:r>
            <w:r>
              <w:t xml:space="preserve"> </w:t>
            </w:r>
            <w:hyperlink w:anchor="fig-GafLow">
              <w:r>
                <w:rPr>
                  <w:rStyle w:val="Lienhypertexte"/>
                </w:rPr>
                <w:t xml:space="preserve">Figure 5</w:t>
              </w:r>
            </w:hyperlink>
            <w:r>
              <w:t xml:space="preserve">. The zoom covers an area equivalent to a 10-meter Sentinel-2 pixel size.</w:t>
            </w:r>
          </w:p>
          <w:bookmarkEnd w:id="73"/>
        </w:tc>
      </w:tr>
    </w:tbl>
    <w:bookmarkEnd w:id="74"/>
    <w:p>
      <w:pPr>
        <w:pStyle w:val="Corpsdetexte"/>
      </w:pPr>
      <w:r>
        <w:t xml:space="preserve">Among the high altitude flights, the one acquired over the inner part of Ria de Aveiro coastal lagoon covered the largest area with approximately 1.5 km² (</w:t>
      </w:r>
      <w:hyperlink w:anchor="fig-Boat">
        <w:r>
          <w:rPr>
            <w:rStyle w:val="Lienhypertexte"/>
          </w:rPr>
          <w:t xml:space="preserve">Figure 7</w:t>
        </w:r>
      </w:hyperlink>
      <w:r>
        <w:t xml:space="preserve">). Teh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Lienhypertexte"/>
          </w:rPr>
          <w:t xml:space="preserve">Figure 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bookmarkStart w:id="79" w:name="cell-fig-Boat"/>
    <w:tbl>
      <w:tblPr>
        <w:tblStyle w:val="Table"/>
        <w:tblW w:type="pct" w:w="5000"/>
        <w:tblLayout w:type="fixed"/>
        <w:tblLook w:firstRow="0" w:lastRow="0" w:firstColumn="0" w:lastColumn="0" w:noHBand="0" w:noVBand="0" w:val="0000"/>
      </w:tblPr>
      <w:tblGrid>
        <w:gridCol w:w="7920"/>
      </w:tblGrid>
      <w:tr>
        <w:tc>
          <w:tcPr/>
          <w:bookmarkStart w:id="78" w:name="fig-Boat"/>
          <w:p>
            <w:pPr>
              <w:pStyle w:val="Compact"/>
              <w:jc w:val="center"/>
            </w:pPr>
            <w:r>
              <w:drawing>
                <wp:inline>
                  <wp:extent cx="2587232" cy="3425177"/>
                  <wp:effectExtent b="0" l="0" r="0" t="0"/>
                  <wp:docPr descr="" title="" id="76" name="Picture"/>
                  <a:graphic>
                    <a:graphicData uri="http://schemas.openxmlformats.org/drawingml/2006/picture">
                      <pic:pic>
                        <pic:nvPicPr>
                          <pic:cNvPr descr="./Figures/Low_res/Maps%20Pred/FigX-Boat_Pred.png" id="77" name="Picture"/>
                          <pic:cNvPicPr>
                            <a:picLocks noChangeArrowheads="1" noChangeAspect="1"/>
                          </pic:cNvPicPr>
                        </pic:nvPicPr>
                        <pic:blipFill>
                          <a:blip r:embed="rId75"/>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The zoom inserts cover an area equivalent to the size of a 10-meter Sentinel-2 pixel.</w:t>
            </w:r>
          </w:p>
          <w:bookmarkEnd w:id="78"/>
        </w:tc>
      </w:tr>
    </w:tbl>
    <w:bookmarkEnd w:id="79"/>
    <w:p>
      <w:pPr>
        <w:pStyle w:val="Corpsdetexte"/>
      </w:pPr>
      <w:r>
        <w:t xml:space="preserve">The flight over L’Epine in Noirmoutier Island, France (</w:t>
      </w:r>
      <w:hyperlink w:anchor="fig-Dike">
        <w:r>
          <w:rPr>
            <w:rStyle w:val="Lienhypertexte"/>
          </w:rPr>
          <w:t xml:space="preserve">Figure 8</w:t>
        </w:r>
      </w:hyperlink>
      <w:r>
        <w:t xml:space="preserve"> </w:t>
      </w:r>
      <w:r>
        <w:t xml:space="preserve">A)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Lienhypertexte"/>
          </w:rPr>
          <w:t xml:space="preserve">Figure 8</w:t>
        </w:r>
      </w:hyperlink>
      <w:r>
        <w:t xml:space="preserve"> </w:t>
      </w:r>
      <w:r>
        <w:t xml:space="preserve">B). This site was characterized by a high mixture between green macroalgae and seagrass but these two classes were correctly discriminated by the classifier (F1 score of 0.97 and 0.98 respectively).</w:t>
      </w:r>
    </w:p>
    <w:bookmarkStart w:id="84" w:name="cell-fig-Dike"/>
    <w:tbl>
      <w:tblPr>
        <w:tblStyle w:val="Table"/>
        <w:tblW w:type="pct" w:w="5000"/>
        <w:tblLayout w:type="fixed"/>
        <w:tblLook w:firstRow="0" w:lastRow="0" w:firstColumn="0" w:lastColumn="0" w:noHBand="0" w:noVBand="0" w:val="0000"/>
      </w:tblPr>
      <w:tblGrid>
        <w:gridCol w:w="7920"/>
      </w:tblGrid>
      <w:tr>
        <w:tc>
          <w:tcPr/>
          <w:bookmarkStart w:id="83" w:name="fig-Dike"/>
          <w:p>
            <w:pPr>
              <w:pStyle w:val="Compact"/>
              <w:jc w:val="center"/>
            </w:pPr>
            <w:r>
              <w:drawing>
                <wp:inline>
                  <wp:extent cx="5943600" cy="4457700"/>
                  <wp:effectExtent b="0" l="0" r="0" t="0"/>
                  <wp:docPr descr="" title="" id="81" name="Picture"/>
                  <a:graphic>
                    <a:graphicData uri="http://schemas.openxmlformats.org/drawingml/2006/picture">
                      <pic:pic>
                        <pic:nvPicPr>
                          <pic:cNvPr descr="./Figures/Low_res/Maps%20Pred/FigX-Dike_Pred.png" id="82" name="Picture"/>
                          <pic:cNvPicPr>
                            <a:picLocks noChangeArrowheads="1" noChangeAspect="1"/>
                          </pic:cNvPicPr>
                        </pic:nvPicPr>
                        <pic:blipFill>
                          <a:blip r:embed="rId80"/>
                          <a:stretch>
                            <a:fillRect/>
                          </a:stretch>
                        </pic:blipFill>
                        <pic:spPr bwMode="auto">
                          <a:xfrm>
                            <a:off x="0" y="0"/>
                            <a:ext cx="5943600" cy="445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RGB orthomosaic (Top) and Prediction (Bottom) of L’Epine, France. The total extent of this flight was about 28 000 m² with a resolution of 80 mm per pixel. Background colors indicate intertidal area (Light Green) and land area (Light Grey). The zoom covers an area equivalent to a 10-meter Sentinel-2 pixel size.</w:t>
            </w:r>
          </w:p>
          <w:bookmarkEnd w:id="83"/>
        </w:tc>
      </w:tr>
    </w:tbl>
    <w:bookmarkEnd w:id="84"/>
    <w:bookmarkEnd w:id="85"/>
    <w:bookmarkStart w:id="91" w:name="validation-of-the-model"/>
    <w:p>
      <w:pPr>
        <w:pStyle w:val="Titre2"/>
      </w:pPr>
      <w:r>
        <w:t xml:space="preserve">3.3 Validation of the model</w:t>
      </w:r>
    </w:p>
    <w:p>
      <w:pPr>
        <w:pStyle w:val="FirstParagraph"/>
      </w:pPr>
      <w:r>
        <w:t xml:space="preserve">With all drone flights combined, the model global accuracy was 94.26% with a Kappa coefficient of 0.92 (</w:t>
      </w:r>
      <w:hyperlink w:anchor="fig-Validation">
        <w:r>
          <w:rPr>
            <w:rStyle w:val="Lienhypertexte"/>
          </w:rPr>
          <w:t xml:space="preserve">Figure 9</w:t>
        </w:r>
      </w:hyperlink>
      <w:r>
        <w:t xml:space="preserve">).</w:t>
      </w:r>
    </w:p>
    <w:bookmarkStart w:id="90" w:name="cell-fig-Validation"/>
    <w:tbl>
      <w:tblPr>
        <w:tblStyle w:val="Table"/>
        <w:tblW w:type="pct" w:w="5000"/>
        <w:tblLayout w:type="fixed"/>
        <w:tblLook w:firstRow="0" w:lastRow="0" w:firstColumn="0" w:lastColumn="0" w:noHBand="0" w:noVBand="0" w:val="0000"/>
      </w:tblPr>
      <w:tblGrid>
        <w:gridCol w:w="7920"/>
      </w:tblGrid>
      <w:tr>
        <w:tc>
          <w:tcPr/>
          <w:bookmarkStart w:id="89" w:name="fig-Validation"/>
          <w:p>
            <w:pPr>
              <w:pStyle w:val="Compact"/>
              <w:jc w:val="center"/>
            </w:pPr>
            <w:r>
              <w:drawing>
                <wp:inline>
                  <wp:extent cx="5943600" cy="3979341"/>
                  <wp:effectExtent b="0" l="0" r="0" t="0"/>
                  <wp:docPr descr="" title="" id="87" name="Picture"/>
                  <a:graphic>
                    <a:graphicData uri="http://schemas.openxmlformats.org/drawingml/2006/picture">
                      <pic:pic>
                        <pic:nvPicPr>
                          <pic:cNvPr descr="./Figures/Low_res/Validation/ConfusionMatrixGlobal.png" id="88" name="Picture"/>
                          <pic:cNvPicPr>
                            <a:picLocks noChangeArrowheads="1" noChangeAspect="1"/>
                          </pic:cNvPicPr>
                        </pic:nvPicPr>
                        <pic:blipFill>
                          <a:blip r:embed="rId86"/>
                          <a:stretch>
                            <a:fillRect/>
                          </a:stretch>
                        </pic:blipFill>
                        <pic:spPr bwMode="auto">
                          <a:xfrm>
                            <a:off x="0" y="0"/>
                            <a:ext cx="5943600" cy="39793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89"/>
        </w:tc>
      </w:tr>
    </w:tbl>
    <w:bookmarkEnd w:id="90"/>
    <w:p>
      <w:pPr>
        <w:pStyle w:val="Corpsdetexte"/>
      </w:pPr>
      <w:r>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bookmarkEnd w:id="91"/>
    <w:bookmarkStart w:id="97" w:name="variable-importance-1"/>
    <w:p>
      <w:pPr>
        <w:pStyle w:val="Titre2"/>
      </w:pPr>
      <w:r>
        <w:t xml:space="preserve">3.4 Variable importance</w:t>
      </w:r>
    </w:p>
    <w:p>
      <w:pPr>
        <w:pStyle w:val="FirstParagraph"/>
      </w:pPr>
      <w:r>
        <w:t xml:space="preserve">The computation of the variable importance made it possible to identify which bands were the most useful for class prediction (</w:t>
      </w:r>
      <w:hyperlink w:anchor="fig-VIP">
        <w:r>
          <w:rPr>
            <w:rStyle w:val="Lienhypertexte"/>
          </w:rPr>
          <w:t xml:space="preserve">Figure 10</w:t>
        </w:r>
      </w:hyperlink>
      <w:r>
        <w:t xml:space="preserve">).</w:t>
      </w:r>
    </w:p>
    <w:bookmarkStart w:id="96" w:name="cell-fig-VIP"/>
    <w:tbl>
      <w:tblPr>
        <w:tblStyle w:val="Table"/>
        <w:tblW w:type="pct" w:w="5000"/>
        <w:tblLayout w:type="fixed"/>
        <w:tblLook w:firstRow="0" w:lastRow="0" w:firstColumn="0" w:lastColumn="0" w:noHBand="0" w:noVBand="0" w:val="0000"/>
      </w:tblPr>
      <w:tblGrid>
        <w:gridCol w:w="7920"/>
      </w:tblGrid>
      <w:tr>
        <w:tc>
          <w:tcPr/>
          <w:bookmarkStart w:id="95" w:name="fig-VIP"/>
          <w:p>
            <w:pPr>
              <w:pStyle w:val="Compact"/>
              <w:jc w:val="center"/>
            </w:pPr>
            <w:r>
              <w:drawing>
                <wp:inline>
                  <wp:extent cx="4721851" cy="3452701"/>
                  <wp:effectExtent b="0" l="0" r="0" t="0"/>
                  <wp:docPr descr="" title="" id="93" name="Picture"/>
                  <a:graphic>
                    <a:graphicData uri="http://schemas.openxmlformats.org/drawingml/2006/picture">
                      <pic:pic>
                        <pic:nvPicPr>
                          <pic:cNvPr descr="Figures/Low_res/VIP/Fig_VIP.png" id="94" name="Picture"/>
                          <pic:cNvPicPr>
                            <a:picLocks noChangeArrowheads="1" noChangeAspect="1"/>
                          </pic:cNvPicPr>
                        </pic:nvPicPr>
                        <pic:blipFill>
                          <a:blip r:embed="rId9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95"/>
        </w:tc>
      </w:tr>
    </w:tbl>
    <w:bookmarkEnd w:id="96"/>
    <w:p>
      <w:pPr>
        <w:pStyle w:val="Corpsdetexte"/>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egetation">
        <w:r>
          <w:rPr>
            <w:rStyle w:val="Lienhypertexte"/>
          </w:rPr>
          <w:t xml:space="preserve">Figure 2</w:t>
        </w:r>
      </w:hyperlink>
      <w:r>
        <w:t xml:space="preserve"> </w:t>
      </w:r>
      <w:r>
        <w:t xml:space="preserve">F).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7"/>
    <w:bookmarkStart w:id="103" w:name="X5e2ea51facab770385496ff7438fe9843c1b822"/>
    <w:p>
      <w:pPr>
        <w:pStyle w:val="Titre2"/>
      </w:pPr>
      <w:r>
        <w:t xml:space="preserve">3.5 Effect of spatial resolution on the classification</w:t>
      </w:r>
    </w:p>
    <w:p>
      <w:pPr>
        <w:pStyle w:val="FirstParagraph"/>
      </w:pPr>
      <w:r>
        <w:t xml:space="preserve">Clear differences were seen in vegetation loss across different resolutions and vegetation classes (</w:t>
      </w:r>
      <w:hyperlink w:anchor="fig-pixelsize">
        <w:r>
          <w:rPr>
            <w:rStyle w:val="Lienhypertexte"/>
          </w:rPr>
          <w:t xml:space="preserve">Figure 11</w:t>
        </w:r>
      </w:hyperlink>
      <w:r>
        <w:t xml:space="preserve">). At a fine resolution of 1m, changes in the retrieved area for each vegetation type are minimal. Green algae shows the highest loss, with 1.2% area lost compared to the native resolution (80 mm). As the resolution coarsens to 10m, vegetation loss becomes more pronounced, with green macroalgae again experiencing the greatest reduction (12% compared to 8cm) and seagrass showing the smallest loss (1.3%). At a resolution of 30m, all green algae have been lost (100% compared to 8cm), while seagrass experiences a relatively small reduction of 11%. Brown macroalgae and red macroalgae show moderate declines, with losses at 30m resolution reaching approximately 37% and 59%, respectively.</w:t>
      </w:r>
    </w:p>
    <w:bookmarkStart w:id="102" w:name="cell-fig-pixelsize"/>
    <w:tbl>
      <w:tblPr>
        <w:tblStyle w:val="Table"/>
        <w:tblW w:type="pct" w:w="5000"/>
        <w:tblLayout w:type="fixed"/>
        <w:tblLook w:firstRow="0" w:lastRow="0" w:firstColumn="0" w:lastColumn="0" w:noHBand="0" w:noVBand="0" w:val="0000"/>
      </w:tblPr>
      <w:tblGrid>
        <w:gridCol w:w="7920"/>
      </w:tblGrid>
      <w:tr>
        <w:tc>
          <w:tcPr/>
          <w:bookmarkStart w:id="101" w:name="fig-pixelsize"/>
          <w:p>
            <w:pPr>
              <w:pStyle w:val="Compact"/>
              <w:jc w:val="center"/>
            </w:pPr>
            <w:r>
              <w:drawing>
                <wp:inline>
                  <wp:extent cx="5349240" cy="3627905"/>
                  <wp:effectExtent b="0" l="0" r="0" t="0"/>
                  <wp:docPr descr="" title="" id="99" name="Picture"/>
                  <a:graphic>
                    <a:graphicData uri="http://schemas.openxmlformats.org/drawingml/2006/picture">
                      <pic:pic>
                        <pic:nvPicPr>
                          <pic:cNvPr descr="Figures/High_res/resolution_plot.png" id="100" name="Picture"/>
                          <pic:cNvPicPr>
                            <a:picLocks noChangeArrowheads="1" noChangeAspect="1"/>
                          </pic:cNvPicPr>
                        </pic:nvPicPr>
                        <pic:blipFill>
                          <a:blip r:embed="rId98"/>
                          <a:stretch>
                            <a:fillRect/>
                          </a:stretch>
                        </pic:blipFill>
                        <pic:spPr bwMode="auto">
                          <a:xfrm>
                            <a:off x="0" y="0"/>
                            <a:ext cx="5349240" cy="36279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101"/>
        </w:tc>
      </w:tr>
    </w:tbl>
    <w:bookmarkEnd w:id="102"/>
    <w:bookmarkEnd w:id="103"/>
    <w:bookmarkStart w:id="109" w:name="X7d8c98344fb9b0b2820ed333ea1419091199e0e"/>
    <w:p>
      <w:pPr>
        <w:pStyle w:val="Titre2"/>
      </w:pPr>
      <w:r>
        <w:t xml:space="preserve">3.6 Effect of the percent cover on the prediction</w:t>
      </w:r>
    </w:p>
    <w:p>
      <w:pPr>
        <w:pStyle w:val="FirstParagraph"/>
      </w:pPr>
      <w:r>
        <w:t xml:space="preserve">Using the very high resolution low altitude flight (8 mm pixels), we determined the minimal percent cover required to correctly classify a given class within the corresponding high altitude flight (8cm pixel resolution ;</w:t>
      </w:r>
      <w:r>
        <w:t xml:space="preserve"> </w:t>
      </w:r>
      <w:hyperlink w:anchor="fig-upscaling">
        <w:r>
          <w:rPr>
            <w:rStyle w:val="Lienhypertexte"/>
          </w:rPr>
          <w:t xml:space="preserve">Figure 12</w:t>
        </w:r>
      </w:hyperlink>
      <w:r>
        <w:t xml:space="preserve">).</w:t>
      </w:r>
    </w:p>
    <w:bookmarkStart w:id="108" w:name="cell-fig-upscaling"/>
    <w:tbl>
      <w:tblPr>
        <w:tblStyle w:val="Table"/>
        <w:tblW w:type="pct" w:w="5000"/>
        <w:tblLayout w:type="fixed"/>
        <w:tblLook w:firstRow="0" w:lastRow="0" w:firstColumn="0" w:lastColumn="0" w:noHBand="0" w:noVBand="0" w:val="0000"/>
      </w:tblPr>
      <w:tblGrid>
        <w:gridCol w:w="7920"/>
      </w:tblGrid>
      <w:tr>
        <w:tc>
          <w:tcPr/>
          <w:bookmarkStart w:id="107" w:name="fig-upscaling"/>
          <w:p>
            <w:pPr>
              <w:pStyle w:val="Compact"/>
              <w:jc w:val="center"/>
            </w:pPr>
            <w:r>
              <w:drawing>
                <wp:inline>
                  <wp:extent cx="5349240" cy="7179412"/>
                  <wp:effectExtent b="0" l="0" r="0" t="0"/>
                  <wp:docPr descr="" title="" id="105" name="Picture"/>
                  <a:graphic>
                    <a:graphicData uri="http://schemas.openxmlformats.org/drawingml/2006/picture">
                      <pic:pic>
                        <pic:nvPicPr>
                          <pic:cNvPr descr="Figures/Low_res/Upscaling/density_vs_Proportion.png" id="106" name="Picture"/>
                          <pic:cNvPicPr>
                            <a:picLocks noChangeArrowheads="1" noChangeAspect="1"/>
                          </pic:cNvPicPr>
                        </pic:nvPicPr>
                        <pic:blipFill>
                          <a:blip r:embed="rId104"/>
                          <a:stretch>
                            <a:fillRect/>
                          </a:stretch>
                        </pic:blipFill>
                        <pic:spPr bwMode="auto">
                          <a:xfrm>
                            <a:off x="0" y="0"/>
                            <a:ext cx="5349240" cy="71794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07"/>
        </w:tc>
      </w:tr>
    </w:tbl>
    <w:bookmarkEnd w:id="108"/>
    <w:p>
      <w:pPr>
        <w:pStyle w:val="Corpsdetexte"/>
      </w:pPr>
      <w:r>
        <w:t xml:space="preserve">A percent cover of at least 80% was sufficient to have all the 80 mm pixels correctly classified, with the exception of Magnoliopsida that required a higher cover (&gt;90 %) to be accurately classified. Concerning the probability of each class, there is a linear relationship between the percent cover and the confidence of the model to predict the class. To predict green macroalgae with a model likelihood of 0.85, a cover of 93 % was needed, 90 % for seagrass, 92 % for red macroalgae and 97 % for diatoms When the vegetation cover of a given class was 100 %,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109"/>
    <w:bookmarkEnd w:id="110"/>
    <w:bookmarkStart w:id="125" w:name="discussion"/>
    <w:p>
      <w:pPr>
        <w:pStyle w:val="Titre1"/>
      </w:pPr>
      <w:r>
        <w:t xml:space="preserve">4. Discussion</w:t>
      </w:r>
    </w:p>
    <w:bookmarkStart w:id="121" w:name="vegetation-discrimination"/>
    <w:p>
      <w:pPr>
        <w:pStyle w:val="Titre2"/>
      </w:pPr>
      <w:r>
        <w:t xml:space="preserve">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Lienhypertexte"/>
          </w:rPr>
          <w:t xml:space="preserve">Figure 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bookmarkStart w:id="115" w:name="cell-fig-Pigm"/>
    <w:tbl>
      <w:tblPr>
        <w:tblStyle w:val="Table"/>
        <w:tblW w:type="pct" w:w="5000"/>
        <w:tblLayout w:type="fixed"/>
        <w:tblLook w:firstRow="0" w:lastRow="0" w:firstColumn="0" w:lastColumn="0" w:noHBand="0" w:noVBand="0" w:val="0000"/>
      </w:tblPr>
      <w:tblGrid>
        <w:gridCol w:w="7920"/>
      </w:tblGrid>
      <w:tr>
        <w:tc>
          <w:tcPr/>
          <w:bookmarkStart w:id="114" w:name="fig-Pigm"/>
          <w:p>
            <w:pPr>
              <w:pStyle w:val="Compact"/>
              <w:jc w:val="center"/>
            </w:pPr>
            <w:r>
              <w:drawing>
                <wp:inline>
                  <wp:extent cx="5943600" cy="2755934"/>
                  <wp:effectExtent b="0" l="0" r="0" t="0"/>
                  <wp:docPr descr="" title="" id="112" name="Picture"/>
                  <a:graphic>
                    <a:graphicData uri="http://schemas.openxmlformats.org/drawingml/2006/picture">
                      <pic:pic>
                        <pic:nvPicPr>
                          <pic:cNvPr descr="./Figures/Low_res/Disc_Pigment_Table.png" id="113" name="Picture"/>
                          <pic:cNvPicPr>
                            <a:picLocks noChangeArrowheads="1" noChangeAspect="1"/>
                          </pic:cNvPicPr>
                        </pic:nvPicPr>
                        <pic:blipFill>
                          <a:blip r:embed="rId111"/>
                          <a:stretch>
                            <a:fillRect/>
                          </a:stretch>
                        </pic:blipFill>
                        <pic:spPr bwMode="auto">
                          <a:xfrm>
                            <a:off x="0" y="0"/>
                            <a:ext cx="5943600" cy="27559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Christensen et al. (1977)</w:t>
            </w:r>
            <w:r>
              <w:t xml:space="preserve">.</w:t>
            </w:r>
          </w:p>
          <w:bookmarkEnd w:id="114"/>
        </w:tc>
      </w:tr>
    </w:tbl>
    <w:bookmarkEnd w:id="115"/>
    <w:bookmarkStart w:id="120" w:name="cell-fig-ValidationGreen"/>
    <w:tbl>
      <w:tblPr>
        <w:tblStyle w:val="Table"/>
        <w:tblW w:type="pct" w:w="5000"/>
        <w:tblLayout w:type="fixed"/>
        <w:tblLook w:firstRow="0" w:lastRow="0" w:firstColumn="0" w:lastColumn="0" w:noHBand="0" w:noVBand="0" w:val="0000"/>
      </w:tblPr>
      <w:tblGrid>
        <w:gridCol w:w="7920"/>
      </w:tblGrid>
      <w:tr>
        <w:tc>
          <w:tcPr/>
          <w:bookmarkStart w:id="119" w:name="fig-ValidationGreen"/>
          <w:p>
            <w:pPr>
              <w:pStyle w:val="Compact"/>
              <w:jc w:val="center"/>
            </w:pPr>
            <w:r>
              <w:drawing>
                <wp:inline>
                  <wp:extent cx="2709559" cy="1932778"/>
                  <wp:effectExtent b="0" l="0" r="0" t="0"/>
                  <wp:docPr descr="" title="" id="117" name="Picture"/>
                  <a:graphic>
                    <a:graphicData uri="http://schemas.openxmlformats.org/drawingml/2006/picture">
                      <pic:pic>
                        <pic:nvPicPr>
                          <pic:cNvPr descr="./Figures/Low_res/Validation/ConfusionMatrixGreen.png" id="118" name="Picture"/>
                          <pic:cNvPicPr>
                            <a:picLocks noChangeArrowheads="1" noChangeAspect="1"/>
                          </pic:cNvPicPr>
                        </pic:nvPicPr>
                        <pic:blipFill>
                          <a:blip r:embed="rId116"/>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Sample of</w:t>
            </w:r>
            <w:r>
              <w:t xml:space="preserve"> </w:t>
            </w:r>
            <w:hyperlink w:anchor="fig-Validation">
              <w:r>
                <w:rPr>
                  <w:rStyle w:val="Lienhypertexte"/>
                </w:rPr>
                <w:t xml:space="preserve">Figure 9</w:t>
              </w:r>
            </w:hyperlink>
            <w:r>
              <w:t xml:space="preserve"> </w:t>
            </w:r>
            <w:r>
              <w:t xml:space="preserve">focusing on green macrophytes. The labels inside the matrix indicate the number of pixels.</w:t>
            </w:r>
          </w:p>
          <w:bookmarkEnd w:id="119"/>
        </w:tc>
      </w:tr>
    </w:tbl>
    <w:bookmarkEnd w:id="120"/>
    <w:p>
      <w:pPr>
        <w:pStyle w:val="Corpsdetexte"/>
      </w:pPr>
      <w:r>
        <w:t xml:space="preserve">Meeting these two criteria, the Micasense RedEdge-MX DUAL camera used in this study, enabled the classifier to achieve 97% of accuracy between these two classes (</w:t>
      </w:r>
      <w:hyperlink w:anchor="fig-ValidationGreen">
        <w:r>
          <w:rPr>
            <w:rStyle w:val="Lienhypertexte"/>
          </w:rPr>
          <w:t xml:space="preserve">Figure 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Lienhypertexte"/>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Corpsdetexte"/>
      </w:pPr>
      <w:r>
        <w:t xml:space="preserve">The variable importance analysis (</w:t>
      </w:r>
      <w:hyperlink w:anchor="fig-VIP">
        <w:r>
          <w:rPr>
            <w:rStyle w:val="Lienhypertexte"/>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Lienhypertexte"/>
          </w:rPr>
          <w:t xml:space="preserve">Figure 10</w:t>
        </w:r>
      </w:hyperlink>
      <w:r>
        <w:t xml:space="preserve"> </w:t>
      </w:r>
      <w:r>
        <w:t xml:space="preserve">;</w:t>
      </w:r>
      <w:r>
        <w:t xml:space="preserve"> </w:t>
      </w:r>
      <w:hyperlink w:anchor="fig-Pigm">
        <w:r>
          <w:rPr>
            <w:rStyle w:val="Lienhypertexte"/>
          </w:rPr>
          <w:t xml:space="preserve">Figure 13</w:t>
        </w:r>
      </w:hyperlink>
      <w:r>
        <w:t xml:space="preserve">). These two key features have been identified by the Neural Network as the two principal predictors to accurately identify brown algae (</w:t>
      </w:r>
      <w:hyperlink w:anchor="fig-VIP">
        <w:r>
          <w:rPr>
            <w:rStyle w:val="Lienhypertexte"/>
          </w:rPr>
          <w:t xml:space="preserve">Figure 10</w:t>
        </w:r>
      </w:hyperlink>
      <w:r>
        <w:t xml:space="preserve">). Similarly, the presence of phycoerythrin and phycocyanin in Rhodophyceae contribute to the lowest reflectance among all classes in the spectral range from 560 to 615 nm (</w:t>
      </w:r>
      <w:hyperlink w:anchor="fig-VIP">
        <w:r>
          <w:rPr>
            <w:rStyle w:val="Lienhypertexte"/>
          </w:rPr>
          <w:t xml:space="preserve">Figure 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Lienhypertexte"/>
          </w:rPr>
          <w:t xml:space="preserve">Figure 10</w:t>
        </w:r>
      </w:hyperlink>
      <w:r>
        <w:t xml:space="preserve">). Indeed, the reflectance at 475 nm was higher for Bacillariophyceae than for any other vegetation class (</w:t>
      </w:r>
      <w:hyperlink w:anchor="fig-vegetation">
        <w:r>
          <w:rPr>
            <w:rStyle w:val="Lienhypertexte"/>
          </w:rPr>
          <w:t xml:space="preserve">Figure 2</w:t>
        </w:r>
      </w:hyperlink>
      <w:r>
        <w:t xml:space="preserve">), very likely due to the low biomass (and associated concentration of blue-absorbing pigments) of these unicellular organisms compared to seagrass and macroalgae.</w:t>
      </w:r>
    </w:p>
    <w:bookmarkEnd w:id="121"/>
    <w:bookmarkStart w:id="122" w:name="X56bbf18dfbac1929b10d45740eeb232309054c0"/>
    <w:p>
      <w:pPr>
        <w:pStyle w:val="Titre2"/>
      </w:pPr>
      <w:r>
        <w:t xml:space="preserve">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Lienhypertexte"/>
          </w:rPr>
          <w:t xml:space="preserve">Figure 4</w:t>
        </w:r>
      </w:hyperlink>
      <w:r>
        <w:t xml:space="preserve">). This result indicates that the reflectance measured by remote sensing (RS) sensors is not significantly influenced by pixel size.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Lienhypertexte"/>
          </w:rPr>
          <w:t xml:space="preserve">Figure 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Lienhypertexte"/>
          </w:rPr>
          <w:t xml:space="preserve">Equation 1</w:t>
        </w:r>
      </w:hyperlink>
      <w:r>
        <w:t xml:space="preserve">. This approach allowed us to eliminate the slight reflectance difference between the flights (</w:t>
      </w:r>
      <w:hyperlink w:anchor="fig-CompareRef">
        <w:r>
          <w:rPr>
            <w:rStyle w:val="Lienhypertexte"/>
          </w:rPr>
          <w:t xml:space="preserve">Figure 4</w:t>
        </w:r>
      </w:hyperlink>
      <w:r>
        <w:t xml:space="preserve"> </w:t>
      </w:r>
      <w:r>
        <w:t xml:space="preserve">B) and to focus on the shape of the spectra in the visible part of the electromagnetic spectra, where different pigmentation are associated to taxonomic diagnostic features. In contrast to subtidal seagrasses, which maintain a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We found 90 % seagrass cover was necessary at an 8 cm resolution for confident prediction of its presence (</w:t>
      </w:r>
      <w:hyperlink w:anchor="fig-upscaling">
        <w:r>
          <w:rPr>
            <w:rStyle w:val="Lienhypertexte"/>
          </w:rPr>
          <w:t xml:space="preserve">Figure 12</w:t>
        </w:r>
      </w:hyperlink>
      <w:r>
        <w:t xml:space="preserve">). However, due to the strong phenology of intertidal seagrass meadows in Europe, the period when a meadow is well-established can be temporally restricted, limiting the ideal window for accurate detection.</w:t>
      </w:r>
    </w:p>
    <w:bookmarkEnd w:id="122"/>
    <w:bookmarkStart w:id="123" w:name="X8ee0ba22c6fafee2c4fdf3a7dcdce5bc64eb5f3"/>
    <w:p>
      <w:pPr>
        <w:pStyle w:val="Titre2"/>
      </w:pPr>
      <w:r>
        <w:t xml:space="preserve">4.3 Impact of Pixel Resolution on the prediction and Implications for Satellite Remote Sensing</w:t>
      </w:r>
    </w:p>
    <w:p>
      <w:pPr>
        <w:pStyle w:val="FirstParagraph"/>
      </w:pPr>
      <w:r>
        <w:t xml:space="preserve">Pixel resolution plays a critical role in accuratly retrieving vegetation area from remote sensing data. As pixel size increases, we found a consistent decline in area retrieval is observed across all vegetation types, with more pronounced effects for certain types, such as green algae (</w:t>
      </w:r>
      <w:hyperlink w:anchor="fig-pixelsize">
        <w:r>
          <w:rPr>
            <w:rStyle w:val="Lienhypertexte"/>
          </w:rPr>
          <w:t xml:space="preserve">Figure 11</w:t>
        </w:r>
      </w:hyperlink>
      <w:r>
        <w:t xml:space="preserve">). This highlights the sensitivity of spatial resolution in detecting smaller or more fragmented vegetation features. Green algae, being particularly patchy across all study sites, shows the steepest decline in areal agreement as pixel size increases, which aligns with expectations given the limitations of coarser resolution in capturing fine-scale details.</w:t>
      </w:r>
    </w:p>
    <w:p>
      <w:pPr>
        <w:pStyle w:val="Corpsdetexte"/>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particularly in fragmented vegetation like green algae.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early stages of green tides could be challenging to monitor at coarse resolutions.</w:t>
      </w:r>
    </w:p>
    <w:p>
      <w:pPr>
        <w:pStyle w:val="Corpsdetexte"/>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are often sufficient. However, when mapping fragmented vegetation like green algae, the precision provided by higher-resolution imagery is crucial, despite the additional costs and processing challenges it imposes.</w:t>
      </w:r>
    </w:p>
    <w:bookmarkEnd w:id="123"/>
    <w:bookmarkStart w:id="124" w:name="X358d9a53b4ed72181dfc2d93c4ce60c8d17bbcb"/>
    <w:p>
      <w:pPr>
        <w:pStyle w:val="Titre2"/>
      </w:pPr>
      <w:r>
        <w:t xml:space="preserve">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conservation of biodiversity to climate change adaptation strategies.</w:t>
      </w:r>
    </w:p>
    <w:p>
      <w:pPr>
        <w:pStyle w:val="Corpsdetexte"/>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(i.e. 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w:t>
      </w:r>
      <w:r>
        <w:t xml:space="preserve">. High spatial resolution drone imagery, coupled with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scale-up when applied alone. Earth Observation can bridge this gap and meet the needs for systematic monitoring of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Corpsdetexte"/>
      </w:pPr>
      <w:r>
        <w:t xml:space="preserve">Effective and efficient monitoring tools are essential for identifying the impacts of human activities and natural changes on coastal ecosystems. On-demand, multispectral drone observations at very high spatial-resolution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patchiness of secondary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24"/>
    <w:bookmarkEnd w:id="125"/>
    <w:bookmarkStart w:id="228" w:name="conclusion"/>
    <w:p>
      <w:pPr>
        <w:pStyle w:val="Titre1"/>
      </w:pPr>
      <w:r>
        <w:t xml:space="preserve">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Start w:id="227" w:name="refs"/>
    <w:bookmarkStart w:id="126" w:name="ref-adade2021"/>
    <w:p>
      <w:pPr>
        <w:pStyle w:val="Bibliographie"/>
      </w:pPr>
      <w:r>
        <w:t xml:space="preserve">Adade, R., Aibinu, A.M., Ekumah, B., Asaana, J., 2021. Unmanned aerial vehicle (UAV) applications in coastal zone management—a review. Environmental Monitoring and Assessment 193, 1–12.</w:t>
      </w:r>
    </w:p>
    <w:bookmarkEnd w:id="126"/>
    <w:bookmarkStart w:id="128" w:name="ref-agisoft"/>
    <w:p>
      <w:pPr>
        <w:pStyle w:val="Bibliographie"/>
      </w:pPr>
      <w:r>
        <w:t xml:space="preserve">Agisoft, 2019.</w:t>
      </w:r>
      <w:r>
        <w:t xml:space="preserve"> </w:t>
      </w:r>
      <w:hyperlink r:id="rId127">
        <w:r>
          <w:rPr>
            <w:rStyle w:val="Lienhypertexte"/>
          </w:rPr>
          <w:t xml:space="preserve">Agisoft metashape</w:t>
        </w:r>
      </w:hyperlink>
      <w:r>
        <w:t xml:space="preserve">.</w:t>
      </w:r>
    </w:p>
    <w:bookmarkEnd w:id="128"/>
    <w:bookmarkStart w:id="129" w:name="ref-angnuureng2022"/>
    <w:p>
      <w:pPr>
        <w:pStyle w:val="Bibliographie"/>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29"/>
    <w:bookmarkStart w:id="130" w:name="ref-bannari2022"/>
    <w:p>
      <w:pPr>
        <w:pStyle w:val="Bibliographie"/>
      </w:pPr>
      <w:r>
        <w:t xml:space="preserve">Bannari, A., Ali, T.S., Abahussain, A., 2022. The capabilities of sentinel-MSI (2A/2B) and landsat-OLI (8/9) in seagrass and algae species differentiation using spectral reflectance. Ocean Science 18, 361–388.</w:t>
      </w:r>
    </w:p>
    <w:bookmarkEnd w:id="130"/>
    <w:bookmarkStart w:id="131" w:name="ref-bargain2013seasonal"/>
    <w:p>
      <w:pPr>
        <w:pStyle w:val="Bibliographie"/>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31"/>
    <w:bookmarkStart w:id="132" w:name="ref-beach1997vivo"/>
    <w:p>
      <w:pPr>
        <w:pStyle w:val="Bibliographie"/>
      </w:pPr>
      <w:r>
        <w:t xml:space="preserve">Beach, K., Borgeas, H., Nishimura, N., Smith, C., 1997. In vivo absorbance spectra and the ecophysiology of reef macroalgae. Coral Reefs 16, 21–28.</w:t>
      </w:r>
    </w:p>
    <w:bookmarkEnd w:id="132"/>
    <w:bookmarkStart w:id="134" w:name="ref-Brunier2022Topographic"/>
    <w:p>
      <w:pPr>
        <w:pStyle w:val="Bibliographie"/>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33">
        <w:r>
          <w:rPr>
            <w:rStyle w:val="Lienhypertexte"/>
          </w:rPr>
          <w:t xml:space="preserve">https://doi.org/10.3390/RS14020307</w:t>
        </w:r>
      </w:hyperlink>
    </w:p>
    <w:bookmarkEnd w:id="134"/>
    <w:bookmarkStart w:id="136" w:name="ref-Cao2017"/>
    <w:p>
      <w:pPr>
        <w:pStyle w:val="Bibliographie"/>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35">
        <w:r>
          <w:rPr>
            <w:rStyle w:val="Lienhypertexte"/>
          </w:rPr>
          <w:t xml:space="preserve">https://doi.org/10.1139/cjfas-2016-0137</w:t>
        </w:r>
      </w:hyperlink>
    </w:p>
    <w:bookmarkEnd w:id="136"/>
    <w:bookmarkStart w:id="137" w:name="ref-cartaxana2016regulation"/>
    <w:p>
      <w:pPr>
        <w:pStyle w:val="Bibliographie"/>
      </w:pPr>
      <w:r>
        <w:t xml:space="preserve">Cartaxana, P., Cruz, S., Gameiro, C., Kühl, M., 2016. Regulation of intertidal microphytobenthos photosynthesis over a diel emersion period is strongly affected by diatom migration patterns. Frontiers in microbiology 7, 872.</w:t>
      </w:r>
    </w:p>
    <w:bookmarkEnd w:id="137"/>
    <w:bookmarkStart w:id="138" w:name="ref-casella2020"/>
    <w:p>
      <w:pPr>
        <w:pStyle w:val="Bibliographie"/>
      </w:pPr>
      <w:r>
        <w:t xml:space="preserve">Casella, E., Drechsel, J., Winter, C., Benninghoff, M., Rovere, A., 2020. Accuracy of sand beach topography surveying by drones and photogrammetry. Geo-Marine Letters 40, 255–268.</w:t>
      </w:r>
    </w:p>
    <w:bookmarkEnd w:id="138"/>
    <w:bookmarkStart w:id="139" w:name="ref-charrier2021growth"/>
    <w:p>
      <w:pPr>
        <w:pStyle w:val="Bibliographie"/>
      </w:pPr>
      <w:r>
        <w:t xml:space="preserve">Charrier, B., Boscq, S., Nelson, B.J., Läubli, N.F., 2021. Growth and labelling of cell wall components of the brown alga ectocarpus in microfluidic chips. Frontiers in Marine Science 8, 745654.</w:t>
      </w:r>
    </w:p>
    <w:bookmarkEnd w:id="139"/>
    <w:bookmarkStart w:id="140" w:name="ref-chefaoui2018dramatic"/>
    <w:p>
      <w:pPr>
        <w:pStyle w:val="Bibliographie"/>
      </w:pPr>
      <w:r>
        <w:t xml:space="preserve">Chefaoui, R.M., Duarte, C.M., Serrão, E.A., 2018. Dramatic loss of seagrass habitat under projected climate change in the mediterranean sea. Global change biology 24, 4919–4928.</w:t>
      </w:r>
    </w:p>
    <w:bookmarkEnd w:id="140"/>
    <w:bookmarkStart w:id="141" w:name="ref-christensen1977seaweeds"/>
    <w:p>
      <w:pPr>
        <w:pStyle w:val="Bibliographie"/>
      </w:pPr>
      <w:r>
        <w:t xml:space="preserve">Christensen, T., Dixon, P.S., Irvine, L.M., 1977. Seaweeds of the british isles: Tribophyceae (xanthophyceae). British Museum (Natural History).</w:t>
      </w:r>
    </w:p>
    <w:bookmarkEnd w:id="141"/>
    <w:bookmarkStart w:id="142" w:name="ref-coffer2023"/>
    <w:p>
      <w:pPr>
        <w:pStyle w:val="Bibliographie"/>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42"/>
    <w:bookmarkStart w:id="143" w:name="ref-collin2019improving"/>
    <w:p>
      <w:pPr>
        <w:pStyle w:val="Bibliographie"/>
      </w:pPr>
      <w:r>
        <w:t xml:space="preserve">Collin, A., Dubois, S., James, D., Houet, T., 2019. Improving intertidal reef mapping using UAV surface, red edge, and near-infrared data. Drones 3, 67.</w:t>
      </w:r>
    </w:p>
    <w:bookmarkEnd w:id="143"/>
    <w:bookmarkStart w:id="145" w:name="ref-COSTA2021107018"/>
    <w:p>
      <w:pPr>
        <w:pStyle w:val="Bibliographie"/>
      </w:pPr>
      <w:r>
        <w:t xml:space="preserve">Costa, V., Serôdio, J., Lillebø, A.I., Sousa, A.I., 2021. Use of hyperspectral reflectance to non-destructively estimate seagrass zostera noltei biomass. Ecological Indicators 121, 107018. https://doi.org/</w:t>
      </w:r>
      <w:hyperlink r:id="rId144">
        <w:r>
          <w:rPr>
            <w:rStyle w:val="Lienhypertexte"/>
          </w:rPr>
          <w:t xml:space="preserve">https://doi.org/10.1016/j.ecolind.2020.107018</w:t>
        </w:r>
      </w:hyperlink>
    </w:p>
    <w:bookmarkEnd w:id="145"/>
    <w:bookmarkStart w:id="147" w:name="ref-Davies2023"/>
    <w:p>
      <w:pPr>
        <w:pStyle w:val="Bibliographie"/>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46">
        <w:r>
          <w:rPr>
            <w:rStyle w:val="Lienhypertexte"/>
          </w:rPr>
          <w:t xml:space="preserve">https://doi.org/10.1016/j.rse.2023.113554</w:t>
        </w:r>
      </w:hyperlink>
    </w:p>
    <w:bookmarkEnd w:id="147"/>
    <w:bookmarkStart w:id="148" w:name="ref-davies2024sentinel"/>
    <w:p>
      <w:pPr>
        <w:pStyle w:val="Bibliographie"/>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148"/>
    <w:bookmarkStart w:id="149" w:name="ref-davies2024intertidal"/>
    <w:p>
      <w:pPr>
        <w:pStyle w:val="Bibliographie"/>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149"/>
    <w:bookmarkStart w:id="151" w:name="ref-BedeGbif"/>
    <w:p>
      <w:pPr>
        <w:pStyle w:val="Bibliographie"/>
      </w:pPr>
      <w:r>
        <w:t xml:space="preserve">Davies, B.F.R., Sousa, A.I., Figueira, R., Oiry, S., Gernez, P., Barillé, L., 2023b. Benthic intertidal vegetation from the tagus estuary and aveiro lagoon.</w:t>
      </w:r>
      <w:r>
        <w:t xml:space="preserve"> </w:t>
      </w:r>
      <w:hyperlink r:id="rId150">
        <w:r>
          <w:rPr>
            <w:rStyle w:val="Lienhypertexte"/>
          </w:rPr>
          <w:t xml:space="preserve">https://doi.org/10.15468/n4ak6x</w:t>
        </w:r>
      </w:hyperlink>
    </w:p>
    <w:bookmarkEnd w:id="151"/>
    <w:bookmarkStart w:id="152" w:name="ref-devlin2023nutrients"/>
    <w:p>
      <w:pPr>
        <w:pStyle w:val="Bibliographie"/>
      </w:pPr>
      <w:r>
        <w:t xml:space="preserve">Devlin, M., Brodie, J., 2023. Nutrients and eutrophication, in: Marine Pollution–Monitoring, Management and Mitigation. Springer, pp. 75–100.</w:t>
      </w:r>
    </w:p>
    <w:bookmarkEnd w:id="152"/>
    <w:bookmarkStart w:id="154" w:name="ref-Douay2022"/>
    <w:p>
      <w:pPr>
        <w:pStyle w:val="Bibliographie"/>
      </w:pPr>
      <w:r>
        <w:t xml:space="preserve">Douay, F., Verpoorter, C., Duong, G., Spilmont, N., Gevaert, F., 2022. New hyperspectral procedure to discriminate intertidal macroalgae. Remote Sensing 14.</w:t>
      </w:r>
      <w:r>
        <w:t xml:space="preserve"> </w:t>
      </w:r>
      <w:hyperlink r:id="rId153">
        <w:r>
          <w:rPr>
            <w:rStyle w:val="Lienhypertexte"/>
          </w:rPr>
          <w:t xml:space="preserve">https://doi.org/10.3390/rs14020346</w:t>
        </w:r>
      </w:hyperlink>
    </w:p>
    <w:bookmarkEnd w:id="154"/>
    <w:bookmarkStart w:id="155" w:name="ref-duffy2019"/>
    <w:p>
      <w:pPr>
        <w:pStyle w:val="Bibliographie"/>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55"/>
    <w:bookmarkStart w:id="156" w:name="ref-WFD2000"/>
    <w:p>
      <w:pPr>
        <w:pStyle w:val="Bibliographie"/>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56"/>
    <w:bookmarkStart w:id="157" w:name="ref-fairley2022drone"/>
    <w:p>
      <w:pPr>
        <w:pStyle w:val="Bibliographie"/>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57"/>
    <w:bookmarkStart w:id="158" w:name="ref-foden2007angiosperms"/>
    <w:p>
      <w:pPr>
        <w:pStyle w:val="Bibliographie"/>
      </w:pPr>
      <w:r>
        <w:t xml:space="preserve">Foden, J., Brazier, D., 2007. Angiosperms (seagrass) within the EU water framework directive: A UK perspective. Marine Pollution Bulletin 55, 181–195.</w:t>
      </w:r>
    </w:p>
    <w:bookmarkEnd w:id="158"/>
    <w:bookmarkStart w:id="159" w:name="ref-fyfe2003spatial"/>
    <w:p>
      <w:pPr>
        <w:pStyle w:val="Bibliographie"/>
      </w:pPr>
      <w:r>
        <w:t xml:space="preserve">Fyfe, S., 2003. Spatial and temporal variation in spectral reflectance: Are seagrass species spectrally distinct? Limnology and Oceanography 48, 464–479.</w:t>
      </w:r>
    </w:p>
    <w:bookmarkEnd w:id="159"/>
    <w:bookmarkStart w:id="160" w:name="ref-gardner2018"/>
    <w:p>
      <w:pPr>
        <w:pStyle w:val="Bibliographie"/>
      </w:pPr>
      <w:r>
        <w:t xml:space="preserve">Gardner, R.C., Finlayson, C., 2018. Global wetland outlook: State of the world’s wetlands and their services to people. Stetson Law.</w:t>
      </w:r>
    </w:p>
    <w:bookmarkEnd w:id="160"/>
    <w:bookmarkStart w:id="161" w:name="ref-haro2023biointertidal"/>
    <w:p>
      <w:pPr>
        <w:pStyle w:val="Bibliographie"/>
      </w:pPr>
      <w:r>
        <w:t xml:space="preserve">Haro, S., Jimenez-Reina, J., Bermejo, R., Morrison, L., 2023. BioIntertidal mapper software: A satellite approach for NDVI-based intertidal habitat mapping. SoftwareX 24, 101520.</w:t>
      </w:r>
    </w:p>
    <w:bookmarkEnd w:id="161"/>
    <w:bookmarkStart w:id="162" w:name="ref-hedley2018influence"/>
    <w:p>
      <w:pPr>
        <w:pStyle w:val="Bibliographie"/>
      </w:pPr>
      <w:r>
        <w:t xml:space="preserve">Hedley, J.D., Mirhakak, M., Wentworth, A., Dierssen, H.M., 2018. Influence of three-dimensional coral structures on hyperspectral benthic reflectance and water-leaving reflectance. Applied Sciences 8, 2688.</w:t>
      </w:r>
    </w:p>
    <w:bookmarkEnd w:id="162"/>
    <w:bookmarkStart w:id="163" w:name="ref-holon2018predictive"/>
    <w:p>
      <w:pPr>
        <w:pStyle w:val="Bibliographie"/>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63"/>
    <w:bookmarkStart w:id="164" w:name="ref-howard2018fastai"/>
    <w:p>
      <w:pPr>
        <w:pStyle w:val="Bibliographie"/>
      </w:pPr>
      <w:r>
        <w:t xml:space="preserve">Howard, J., others, 2018. Fastai.</w:t>
      </w:r>
    </w:p>
    <w:bookmarkEnd w:id="164"/>
    <w:bookmarkStart w:id="165" w:name="ref-jankowska2019"/>
    <w:p>
      <w:pPr>
        <w:pStyle w:val="Bibliographie"/>
      </w:pPr>
      <w:r>
        <w:t xml:space="preserve">Jankowska, E., Michel, L.N., Lepoint, G., Włodarska-Kowalczuk, M., 2019. Stabilizing effects of seagrass meadows on coastal water benthic food webs. Journal of Experimental Marine Biology and Ecology 510, 54–63.</w:t>
      </w:r>
    </w:p>
    <w:bookmarkEnd w:id="165"/>
    <w:bookmarkStart w:id="166" w:name="ref-joyce2023"/>
    <w:p>
      <w:pPr>
        <w:pStyle w:val="Bibliographie"/>
      </w:pPr>
      <w:r>
        <w:t xml:space="preserve">Joyce, K.E., Fickas, K.C., Kalamandeen, M., 2023. The unique value proposition for using drones to map coastal ecosystems. Cambridge Prisms: Coastal Futures 1, e6.</w:t>
      </w:r>
    </w:p>
    <w:bookmarkEnd w:id="166"/>
    <w:bookmarkStart w:id="167" w:name="ref-kirk1994light"/>
    <w:p>
      <w:pPr>
        <w:pStyle w:val="Bibliographie"/>
      </w:pPr>
      <w:r>
        <w:t xml:space="preserve">Kirk, J.T., 1994. Light and photosynthesis in aquatic ecosystems. Cambridge university press.</w:t>
      </w:r>
    </w:p>
    <w:bookmarkEnd w:id="167"/>
    <w:bookmarkStart w:id="168" w:name="ref-klemas2012remote"/>
    <w:p>
      <w:pPr>
        <w:pStyle w:val="Bibliographie"/>
      </w:pPr>
      <w:r>
        <w:t xml:space="preserve">Klemas, V., 2012. Remote sensing of algal blooms: An overview with case studies. Journal of coastal research 28, 34–43.</w:t>
      </w:r>
    </w:p>
    <w:bookmarkEnd w:id="168"/>
    <w:bookmarkStart w:id="169" w:name="ref-legare2022remote"/>
    <w:p>
      <w:pPr>
        <w:pStyle w:val="Bibliographie"/>
      </w:pPr>
      <w:r>
        <w:t xml:space="preserve">Légaré, B., Bélanger, S., Singh, R.K., Bernatchez, P., Cusson, M., 2022. Remote sensing of coastal vegetation phenology in a cold temperate intertidal system: Implications for classification of coastal habitats. Remote Sensing 14, 3000.</w:t>
      </w:r>
    </w:p>
    <w:bookmarkEnd w:id="169"/>
    <w:bookmarkStart w:id="170" w:name="ref-lin2018"/>
    <w:p>
      <w:pPr>
        <w:pStyle w:val="Bibliographie"/>
      </w:pPr>
      <w:r>
        <w:t xml:space="preserve">Lin, H., Sun, T., Zhou, Y., Gu, R., Zhang, X., Yang, W., 2018. Which genes in a typical intertidal seagrass (zostera japonica) indicate copper-, lead-, and cadmium pollution? Frontiers in Plant Science 9, 1545.</w:t>
      </w:r>
    </w:p>
    <w:bookmarkEnd w:id="170"/>
    <w:bookmarkStart w:id="171" w:name="ref-deSantos2019"/>
    <w:p>
      <w:pPr>
        <w:pStyle w:val="Bibliographie"/>
      </w:pPr>
      <w:r>
        <w:t xml:space="preserve">Los Santos, C.B. de, Krause-Jensen, D., Alcoverro, T., Marbà, N., Duarte, C.M., Van Katwijk, M.M., Pérez, M., Romero, J., Sánchez-Lizaso, J.L., Roca, G., others, 2019. Recent trend reversal for declining european seagrass meadows. Nature communications 10, 3356.</w:t>
      </w:r>
    </w:p>
    <w:bookmarkEnd w:id="171"/>
    <w:bookmarkStart w:id="172" w:name="ref-louime2017sargassum"/>
    <w:p>
      <w:pPr>
        <w:pStyle w:val="Bibliographie"/>
      </w:pPr>
      <w:r>
        <w:t xml:space="preserve">Louime, C., Fortune, J., Gervais, G., 2017. Sargassum invasion of coastal environments: A growing concern. American Journal of Environmental Sciences 13, 58–64.</w:t>
      </w:r>
    </w:p>
    <w:bookmarkEnd w:id="172"/>
    <w:bookmarkStart w:id="173" w:name="ref-marquet2024global"/>
    <w:p>
      <w:pPr>
        <w:pStyle w:val="Bibliographie"/>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73"/>
    <w:bookmarkStart w:id="174" w:name="ref-meleder2013vivo"/>
    <w:p>
      <w:pPr>
        <w:pStyle w:val="Bibliographie"/>
      </w:pPr>
      <w:r>
        <w:t xml:space="preserve">Méléder, V., Laviale, M., Jesus, B., Mouget, J.L., Lavaud, J., Kazemipour, F., Launeau, P., Barillé, L., 2013. In vivo estimation of pigment composition and optical absorption cross-section by spectroradiometry in four aquatic photosynthetic micro-organisms. Journal of Photochemistry and Photobiology B: Biology 129, 115–124.</w:t>
      </w:r>
    </w:p>
    <w:bookmarkEnd w:id="174"/>
    <w:bookmarkStart w:id="175" w:name="ref-menesguen2018marees"/>
    <w:p>
      <w:pPr>
        <w:pStyle w:val="Bibliographie"/>
      </w:pPr>
      <w:r>
        <w:t xml:space="preserve">Ménesguen, A., 2018. Les mar</w:t>
      </w:r>
      <w:r>
        <w:t xml:space="preserve">é</w:t>
      </w:r>
      <w:r>
        <w:t xml:space="preserve">es vertes: 40 cl</w:t>
      </w:r>
      <w:r>
        <w:t xml:space="preserve">é</w:t>
      </w:r>
      <w:r>
        <w:t xml:space="preserve">s pour comprendre. Editions Quae.</w:t>
      </w:r>
    </w:p>
    <w:bookmarkEnd w:id="175"/>
    <w:bookmarkStart w:id="177" w:name="ref-Miloslavich2018"/>
    <w:p>
      <w:pPr>
        <w:pStyle w:val="Bibliographie"/>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76">
        <w:r>
          <w:rPr>
            <w:rStyle w:val="Lienhypertexte"/>
          </w:rPr>
          <w:t xml:space="preserve">https://doi.org/10.1111/GCB.14108</w:t>
        </w:r>
      </w:hyperlink>
    </w:p>
    <w:bookmarkEnd w:id="177"/>
    <w:bookmarkStart w:id="178" w:name="ref-muller2018satellite"/>
    <w:p>
      <w:pPr>
        <w:pStyle w:val="Bibliographie"/>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78"/>
    <w:bookmarkStart w:id="179" w:name="ref-nebel2020review"/>
    <w:p>
      <w:pPr>
        <w:pStyle w:val="Bibliographie"/>
      </w:pPr>
      <w:r>
        <w:t xml:space="preserve">Nebel, S., Beege, M., Schneider, S., Rey, G.D., 2020. A review of photogrammetry and photorealistic 3D models in education from a psychological perspective, in: Frontiers in Education. Frontiers Media SA, p. 144.</w:t>
      </w:r>
    </w:p>
    <w:bookmarkEnd w:id="179"/>
    <w:bookmarkStart w:id="180" w:name="ref-nguyen2021"/>
    <w:p>
      <w:pPr>
        <w:pStyle w:val="Bibliographie"/>
      </w:pPr>
      <w:r>
        <w:t xml:space="preserve">Nguyen, H.M., Ralph, P.J., Marı́n-Guirao, L., Pernice, M., Procaccini, G., 2021. Seagrasses in an era of ocean warming: A review. Biological Reviews 96, 2009–2030.</w:t>
      </w:r>
    </w:p>
    <w:bookmarkEnd w:id="180"/>
    <w:bookmarkStart w:id="181" w:name="ref-nijland2019"/>
    <w:p>
      <w:pPr>
        <w:pStyle w:val="Bibliographie"/>
      </w:pPr>
      <w:r>
        <w:t xml:space="preserve">Nijland, W., Reshitnyk, L., Rubidge, E., 2019. Satellite remote sensing of canopy-forming kelp on a complex coastline: A novel procedure using the landsat image archive. Remote Sensing of Environment 220, 41–50.</w:t>
      </w:r>
    </w:p>
    <w:bookmarkEnd w:id="181"/>
    <w:bookmarkStart w:id="182" w:name="ref-nordlund2024one"/>
    <w:p>
      <w:pPr>
        <w:pStyle w:val="Bibliographie"/>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82"/>
    <w:bookmarkStart w:id="183" w:name="ref-oh2017use"/>
    <w:p>
      <w:pPr>
        <w:pStyle w:val="Bibliographie"/>
      </w:pPr>
      <w:r>
        <w:t xml:space="preserve">Oh, J., Kim, D., Lee, H., 2017. Use of a drone for mapping and time series image acquisition of tidal zones. Journal of the Korean Institute of Intelligent Systems 27, 119–125.</w:t>
      </w:r>
    </w:p>
    <w:bookmarkEnd w:id="183"/>
    <w:bookmarkStart w:id="184" w:name="ref-oiry2021using"/>
    <w:p>
      <w:pPr>
        <w:pStyle w:val="Bibliographie"/>
      </w:pPr>
      <w:r>
        <w:t xml:space="preserve">Oiry, S., Barillé, L., 2021. Using sentinel-2 satellite imagery to develop microphytobenthos-based water quality indices in estuaries. Ecological Indicators 121, 107184.</w:t>
      </w:r>
    </w:p>
    <w:bookmarkEnd w:id="184"/>
    <w:bookmarkStart w:id="185" w:name="ref-orth2006"/>
    <w:p>
      <w:pPr>
        <w:pStyle w:val="Bibliographie"/>
      </w:pPr>
      <w:r>
        <w:t xml:space="preserve">Orth, R.J., Carruthers, T.J., Dennison, W.C., Duarte, C.M., Fourqurean, J.W., Heck, K.L., Hughes, A.R., Kendrick, G.A., Kenworthy, W.J., Olyarnik, S., others, 2006. A global crisis for seagrass ecosystems. Bioscience 56, 987–996.</w:t>
      </w:r>
    </w:p>
    <w:bookmarkEnd w:id="185"/>
    <w:bookmarkStart w:id="186" w:name="ref-papathanasopoulou2019satellite"/>
    <w:p>
      <w:pPr>
        <w:pStyle w:val="Bibliographie"/>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86"/>
    <w:bookmarkStart w:id="187" w:name="ref-Pereira2013"/>
    <w:p>
      <w:pPr>
        <w:pStyle w:val="Bibliographie"/>
      </w:pPr>
      <w:r>
        <w:t xml:space="preserve">Pereira, H.M., Ferrier, S., Walters, M., Geller, G.N., Jongman, R.H., Scholes, R.J., Bruford, M.W., Brummitt, N., Butchart, S.H., Cardoso, A., others, 2013. Essential biodiversity variables. Science 339, 277–278.</w:t>
      </w:r>
    </w:p>
    <w:bookmarkEnd w:id="187"/>
    <w:bookmarkStart w:id="188" w:name="ref-piaser2023impact"/>
    <w:p>
      <w:pPr>
        <w:pStyle w:val="Bibliographie"/>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88"/>
    <w:bookmarkStart w:id="189" w:name="ref-ralph2002"/>
    <w:p>
      <w:pPr>
        <w:pStyle w:val="Bibliographie"/>
      </w:pPr>
      <w:r>
        <w:t xml:space="preserve">Ralph, P., Polk, S., Moore, K., Orth, R., Smith Jr, W., 2002. Operation of the xanthophyll cycle in the seagrass zostera marina in response to variable irradiance. Journal of Experimental Marine Biology and Ecology 271, 189–207.</w:t>
      </w:r>
    </w:p>
    <w:bookmarkEnd w:id="189"/>
    <w:bookmarkStart w:id="190" w:name="ref-rasheed2011long"/>
    <w:p>
      <w:pPr>
        <w:pStyle w:val="Bibliographie"/>
      </w:pPr>
      <w:r>
        <w:t xml:space="preserve">Rasheed, M.A., Unsworth, R.K., 2011. Long-term climate-associated dynamics of a tropical seagrass meadow: Implications for the future. Marine Ecology Progress Series 422, 93–103.</w:t>
      </w:r>
    </w:p>
    <w:bookmarkEnd w:id="190"/>
    <w:bookmarkStart w:id="191" w:name="ref-ratnarajah2023monitoring"/>
    <w:p>
      <w:pPr>
        <w:pStyle w:val="Bibliographie"/>
      </w:pPr>
      <w:r>
        <w:t xml:space="preserve">Ratnarajah, L., Abu-Alhaija, R., Atkinson, A., Batten, S., Bax, N.J., Bernard, K.S., Canonico, G., Cornils, A., Everett, J.D., Grigoratou, M., others, 2023. Monitoring and modelling marine zooplankton in a changing climate. Nature Communications 14, 564.</w:t>
      </w:r>
    </w:p>
    <w:bookmarkEnd w:id="191"/>
    <w:bookmarkStart w:id="192" w:name="ref-repolho2017seagrass"/>
    <w:p>
      <w:pPr>
        <w:pStyle w:val="Bibliographie"/>
      </w:pPr>
      <w:r>
        <w:t xml:space="preserve">Repolho, T., Duarte, B., Dionı́sio, G., Paula, J.R., Lopes, A.R., Rosa, I.C., Grilo, T.F., Caçador, I., Calado, R., Rosa, R., 2017. Seagrass ecophysiological performance under ocean warming and acidification. Scientific Reports 7, 41443.</w:t>
      </w:r>
    </w:p>
    <w:bookmarkEnd w:id="192"/>
    <w:bookmarkStart w:id="194" w:name="ref-Roca2022"/>
    <w:p>
      <w:pPr>
        <w:pStyle w:val="Bibliographie"/>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93">
        <w:r>
          <w:rPr>
            <w:rStyle w:val="Lienhypertexte"/>
          </w:rPr>
          <w:t xml:space="preserve">https://doi.org/10.3389/fmars.2022.1004012</w:t>
        </w:r>
      </w:hyperlink>
    </w:p>
    <w:bookmarkEnd w:id="194"/>
    <w:bookmarkStart w:id="195" w:name="ref-Roman2021"/>
    <w:p>
      <w:pPr>
        <w:pStyle w:val="Bibliographie"/>
      </w:pPr>
      <w:r>
        <w:t xml:space="preserve">Román, A., Tovar-Sánchez, A., Olivé, I., Navarro, G., 2021. Using a UAV-mounted multispectral camera for the monitoring of marine macrophytes. Frontiers in Marine Science 1225.</w:t>
      </w:r>
    </w:p>
    <w:bookmarkEnd w:id="195"/>
    <w:bookmarkStart w:id="196" w:name="ref-rossiter2020uav"/>
    <w:p>
      <w:pPr>
        <w:pStyle w:val="Bibliographie"/>
      </w:pPr>
      <w:r>
        <w:t xml:space="preserve">Rossiter, T., Furey, T., McCarthy, T., Stengel, D.B., 2020. UAV-mounted hyperspectral mapping of intertidal macroalgae. Estuarine, Coastal and Shelf Science 242, 106789.</w:t>
      </w:r>
    </w:p>
    <w:bookmarkEnd w:id="196"/>
    <w:bookmarkStart w:id="198" w:name="ref-SCHIBALSKI2022101414"/>
    <w:p>
      <w:pPr>
        <w:pStyle w:val="Bibliographie"/>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97">
        <w:r>
          <w:rPr>
            <w:rStyle w:val="Lienhypertexte"/>
          </w:rPr>
          <w:t xml:space="preserve">https://doi.org/10.1016/j.ecoser.2022.101414</w:t>
        </w:r>
      </w:hyperlink>
    </w:p>
    <w:bookmarkEnd w:id="198"/>
    <w:bookmarkStart w:id="199" w:name="ref-schneider2012nih"/>
    <w:p>
      <w:pPr>
        <w:pStyle w:val="Bibliographie"/>
      </w:pPr>
      <w:r>
        <w:t xml:space="preserve">Schneider, C.A., Rasband, W.S., Eliceiri, K.W., 2012. NIH image to ImageJ: 25 years of image analysis. Nature methods 9, 671–675.</w:t>
      </w:r>
    </w:p>
    <w:bookmarkEnd w:id="199"/>
    <w:bookmarkStart w:id="201" w:name="ref-rs13081408"/>
    <w:p>
      <w:pPr>
        <w:pStyle w:val="Bibliographie"/>
      </w:pPr>
      <w:r>
        <w:t xml:space="preserve">Schreyers, L., Emmerik, T. van, Biermann, L., Le Lay, Y.-F., 2021. Spotting green tides over brittany from space: Three decades of monitoring with landsat imagery. Remote Sensing 13.</w:t>
      </w:r>
      <w:r>
        <w:t xml:space="preserve"> </w:t>
      </w:r>
      <w:hyperlink r:id="rId200">
        <w:r>
          <w:rPr>
            <w:rStyle w:val="Lienhypertexte"/>
          </w:rPr>
          <w:t xml:space="preserve">https://doi.org/10.3390/rs13081408</w:t>
        </w:r>
      </w:hyperlink>
    </w:p>
    <w:bookmarkEnd w:id="201"/>
    <w:bookmarkStart w:id="203" w:name="ref-Slaton2001"/>
    <w:p>
      <w:pPr>
        <w:pStyle w:val="Bibliographie"/>
      </w:pPr>
      <w:r>
        <w:t xml:space="preserve">Slaton, M.R., Raymond Hunt Jr., E., Smith, W.K., 2001. Estimating near-infrared leaf reflectance from leaf structural characteristics. American Journal of Botany 88, 278–284. https://doi.org/</w:t>
      </w:r>
      <w:hyperlink r:id="rId202">
        <w:r>
          <w:rPr>
            <w:rStyle w:val="Lienhypertexte"/>
          </w:rPr>
          <w:t xml:space="preserve">https://doi.org/10.2307/2657019</w:t>
        </w:r>
      </w:hyperlink>
    </w:p>
    <w:bookmarkEnd w:id="203"/>
    <w:bookmarkStart w:id="204" w:name="ref-soissons2018"/>
    <w:p>
      <w:pPr>
        <w:pStyle w:val="Bibliographie"/>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204"/>
    <w:bookmarkStart w:id="205" w:name="ref-sousa2017blue"/>
    <w:p>
      <w:pPr>
        <w:pStyle w:val="Bibliographie"/>
      </w:pPr>
      <w:r>
        <w:t xml:space="preserve">Sousa, A.I., Santos, D.B., Silva, E.F. da, Sousa, L.P., Cleary, D.F., Soares, A.M., Lillebø, A.I., 2017. ‘Blue carbon’and nutrient stocks of salt marshes at a temperate coastal lagoon (ria de aveiro, portugal). Scientific reports 7, 41225.</w:t>
      </w:r>
    </w:p>
    <w:bookmarkEnd w:id="205"/>
    <w:bookmarkStart w:id="206" w:name="ref-sousa2019blue"/>
    <w:p>
      <w:pPr>
        <w:pStyle w:val="Bibliographie"/>
      </w:pPr>
      <w:r>
        <w:t xml:space="preserve">Sousa, A.I., Silva, J.F. da, Azevedo, A., Lillebø, A.I., 2019. Blue carbon stock in zostera noltei meadows at ria de aveiro coastal lagoon (portugal) over a decade. Scientific reports 9, 14387.</w:t>
      </w:r>
    </w:p>
    <w:bookmarkEnd w:id="206"/>
    <w:bookmarkStart w:id="207" w:name="ref-sutton2011european"/>
    <w:p>
      <w:pPr>
        <w:pStyle w:val="Bibliographie"/>
      </w:pPr>
      <w:r>
        <w:t xml:space="preserve">Sutton, M.A., Van Grinsven, H., Billen, G., Bleeker, A., Bouwman, A., Oenema, O., 2011. European nitrogen assessement-summary for policy makers, in: The European Nitrogen Assessment. Sources, Effects and Policy Perspectives. pp. xxiv–xxxiv.</w:t>
      </w:r>
    </w:p>
    <w:bookmarkEnd w:id="207"/>
    <w:bookmarkStart w:id="208" w:name="ref-tallam2023"/>
    <w:p>
      <w:pPr>
        <w:pStyle w:val="Bibliographie"/>
      </w:pPr>
      <w:r>
        <w:t xml:space="preserve">Tallam, K., Nguyen, N., Ventura, J., Fricker, A., Calhoun, S., O’Leary, J., Fitzgibbons, M., Robbins, I., Walter, R.K., 2023. Application of deep learning for classification of intertidal eelgrass from drone-acquired imagery. Remote Sensing 15, 2321.</w:t>
      </w:r>
    </w:p>
    <w:bookmarkEnd w:id="208"/>
    <w:bookmarkStart w:id="210" w:name="ref-Traganos2018"/>
    <w:p>
      <w:pPr>
        <w:pStyle w:val="Bibliographie"/>
      </w:pPr>
      <w:r>
        <w:t xml:space="preserve">Traganos, D., Reinartz, P., 2018. Mapping mediterranean seagrasses with sentinel-2 imagery. Marine Pollution Bulletin 134, 197–209.</w:t>
      </w:r>
      <w:r>
        <w:t xml:space="preserve"> </w:t>
      </w:r>
      <w:hyperlink r:id="rId209">
        <w:r>
          <w:rPr>
            <w:rStyle w:val="Lienhypertexte"/>
          </w:rPr>
          <w:t xml:space="preserve">https://doi.org/10.1016/j.marpolbul.2017.06.075</w:t>
        </w:r>
      </w:hyperlink>
    </w:p>
    <w:bookmarkEnd w:id="210"/>
    <w:bookmarkStart w:id="211" w:name="ref-tuya2013"/>
    <w:p>
      <w:pPr>
        <w:pStyle w:val="Bibliographie"/>
      </w:pPr>
      <w:r>
        <w:t xml:space="preserve">Tuya, F., Hernandez-Zerpa, H., Espino, F., Haroun, R., 2013. Drastic decadal decline of the seagrass cymodocea nodosa at gran canaria (eastern atlantic): Interactions with the green algae caulerpa prolifera. Aquatic Botany 105, 1–6.</w:t>
      </w:r>
    </w:p>
    <w:bookmarkEnd w:id="211"/>
    <w:bookmarkStart w:id="212" w:name="ref-unsworth2022"/>
    <w:p>
      <w:pPr>
        <w:pStyle w:val="Bibliographie"/>
      </w:pPr>
      <w:r>
        <w:t xml:space="preserve">Unsworth, R.K., Cullen-Unsworth, L.C., Jones, B.L., Lilley, R.J., 2022. The planetary role of seagrass conservation. Science 377, 609–613.</w:t>
      </w:r>
    </w:p>
    <w:bookmarkEnd w:id="212"/>
    <w:bookmarkStart w:id="213" w:name="ref-veettil2020opportunities"/>
    <w:p>
      <w:pPr>
        <w:pStyle w:val="Bibliographie"/>
      </w:pPr>
      <w:r>
        <w:t xml:space="preserve">Veettil, B.K., Ward, R.D., Lima, M.D.A.C., Stankovic, M., Hoai, P.N., Quang, N.X., 2020. Opportunities for seagrass research derived from remote sensing: A review of current methods. Ecological Indicators 117, 106560.</w:t>
      </w:r>
    </w:p>
    <w:bookmarkEnd w:id="213"/>
    <w:bookmarkStart w:id="214" w:name="ref-villalobos2023remote"/>
    <w:p>
      <w:pPr>
        <w:pStyle w:val="Bibliographie"/>
      </w:pPr>
      <w:r>
        <w:t xml:space="preserve">Villalobos Perna, P., Di Febbraro, M., Carranza, M.L., Marzialetti, F., Innangi, M., 2023. Remote sensing and invasive plants in coastal ecosystems: What we know so far and future prospects. Land 12, 341.</w:t>
      </w:r>
    </w:p>
    <w:bookmarkEnd w:id="214"/>
    <w:bookmarkStart w:id="215" w:name="ref-villares1999nitrogen"/>
    <w:p>
      <w:pPr>
        <w:pStyle w:val="Bibliographie"/>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215"/>
    <w:bookmarkStart w:id="216" w:name="ref-wang2022"/>
    <w:p>
      <w:pPr>
        <w:pStyle w:val="Bibliographie"/>
      </w:pPr>
      <w:r>
        <w:t xml:space="preserve">Wang, Z., Fang, Z., Liang, J., Song, X., 2022. Assessment of global habitat suitability and risk of ocean green tides. Harmful Algae 119, 102324.</w:t>
      </w:r>
    </w:p>
    <w:bookmarkEnd w:id="216"/>
    <w:bookmarkStart w:id="218" w:name="ref-WEI2015399"/>
    <w:p>
      <w:pPr>
        <w:pStyle w:val="Bibliographie"/>
      </w:pPr>
      <w:r>
        <w:t xml:space="preserve">Wei, P., Lu, Z., Song, J., 2015. Variable importance analysis: A comprehensive review. Reliability Engineering and System Safety 142, 399–432. https://doi.org/</w:t>
      </w:r>
      <w:hyperlink r:id="rId217">
        <w:r>
          <w:rPr>
            <w:rStyle w:val="Lienhypertexte"/>
          </w:rPr>
          <w:t xml:space="preserve">https://doi.org/10.1016/j.ress.2015.05.018</w:t>
        </w:r>
      </w:hyperlink>
    </w:p>
    <w:bookmarkEnd w:id="218"/>
    <w:bookmarkStart w:id="219" w:name="ref-xu2021"/>
    <w:p>
      <w:pPr>
        <w:pStyle w:val="Bibliographie"/>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19"/>
    <w:bookmarkStart w:id="220" w:name="ref-ye2011green"/>
    <w:p>
      <w:pPr>
        <w:pStyle w:val="Bibliographie"/>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20"/>
    <w:bookmarkStart w:id="222" w:name="ref-Zoffoli2021"/>
    <w:p>
      <w:pPr>
        <w:pStyle w:val="Bibliographie"/>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21">
        <w:r>
          <w:rPr>
            <w:rStyle w:val="Lienhypertexte"/>
          </w:rPr>
          <w:t xml:space="preserve">https://doi.org/10.1016/j.ecolind.2021.108033</w:t>
        </w:r>
      </w:hyperlink>
    </w:p>
    <w:bookmarkEnd w:id="222"/>
    <w:bookmarkStart w:id="224" w:name="ref-Zoffoli2022"/>
    <w:p>
      <w:pPr>
        <w:pStyle w:val="Bibliographie"/>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23">
        <w:r>
          <w:rPr>
            <w:rStyle w:val="Lienhypertexte"/>
          </w:rPr>
          <w:t xml:space="preserve">https://doi.org/10.1002/rse2.319</w:t>
        </w:r>
      </w:hyperlink>
    </w:p>
    <w:bookmarkEnd w:id="224"/>
    <w:bookmarkStart w:id="226" w:name="ref-ZOFFOLI2020112020"/>
    <w:p>
      <w:pPr>
        <w:pStyle w:val="Bibliographie"/>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25">
        <w:r>
          <w:rPr>
            <w:rStyle w:val="Lienhypertexte"/>
          </w:rPr>
          <w:t xml:space="preserve">https://doi.org/10.1016/j.rse.2020.112020</w:t>
        </w:r>
      </w:hyperlink>
    </w:p>
    <w:bookmarkEnd w:id="226"/>
    <w:bookmarkEnd w:id="227"/>
    <w:bookmarkEnd w:id="228"/>
    <w:sectPr w:rsidR="00CB5A6B" w:rsidRPr="00140A00" w:rsidSect="00E71D04">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EA454B4C"/>
    <w:multiLevelType w:val="multilevel"/>
    <w:tmpl w:val="B172D9D4"/>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1">
    <w:nsid w:val="FFFFFF7C"/>
    <w:multiLevelType w:val="singleLevel"/>
    <w:tmpl w:val="15081ED4"/>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BD667E20"/>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3236C636"/>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B902FF0C"/>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C972AA1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774AF55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00D2D9E4"/>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D79280A6"/>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0292E3D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F7CE3594"/>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1C344B8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1F5F35B8"/>
    <w:multiLevelType w:val="multilevel"/>
    <w:tmpl w:val="99CCB8CC"/>
    <w:lvl w:ilvl="0">
      <w:start w:val="1"/>
      <w:numFmt w:val="decimal"/>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3">
    <w:nsid w:val="2C1AE401"/>
    <w:multiLevelType w:val="multilevel"/>
    <w:tmpl w:val="553C69A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803419667" w:numId="1">
    <w:abstractNumId w:val="11"/>
  </w:num>
  <w:num w16cid:durableId="362556031" w:numId="2">
    <w:abstractNumId w:val="11"/>
  </w:num>
  <w:num w16cid:durableId="22830133"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48775770" w:numId="4">
    <w:abstractNumId w:val="10"/>
  </w:num>
  <w:num w16cid:durableId="871575922" w:numId="5">
    <w:abstractNumId w:val="8"/>
  </w:num>
  <w:num w16cid:durableId="1031109145" w:numId="6">
    <w:abstractNumId w:val="7"/>
  </w:num>
  <w:num w16cid:durableId="1388065319" w:numId="7">
    <w:abstractNumId w:val="6"/>
  </w:num>
  <w:num w16cid:durableId="921141021" w:numId="8">
    <w:abstractNumId w:val="5"/>
  </w:num>
  <w:num w16cid:durableId="588387201" w:numId="9">
    <w:abstractNumId w:val="9"/>
  </w:num>
  <w:num w16cid:durableId="1199318719" w:numId="10">
    <w:abstractNumId w:val="4"/>
  </w:num>
  <w:num w16cid:durableId="1587375166" w:numId="11">
    <w:abstractNumId w:val="3"/>
  </w:num>
  <w:num w16cid:durableId="1904675652" w:numId="12">
    <w:abstractNumId w:val="2"/>
  </w:num>
  <w:num w16cid:durableId="141892625" w:numId="13">
    <w:abstractNumId w:val="1"/>
  </w:num>
  <w:num w16cid:durableId="1140465206" w:numId="14">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852A4"/>
    <w:rsid w:val="00140A00"/>
    <w:rsid w:val="001938C4"/>
    <w:rsid w:val="001F1B21"/>
    <w:rsid w:val="00290F39"/>
    <w:rsid w:val="002B6DF7"/>
    <w:rsid w:val="00352E1F"/>
    <w:rsid w:val="00370325"/>
    <w:rsid w:val="003B301E"/>
    <w:rsid w:val="003B59D0"/>
    <w:rsid w:val="003D69A7"/>
    <w:rsid w:val="003E19EC"/>
    <w:rsid w:val="0041151E"/>
    <w:rsid w:val="004A0A2B"/>
    <w:rsid w:val="004E29B3"/>
    <w:rsid w:val="004F5DB7"/>
    <w:rsid w:val="00590D07"/>
    <w:rsid w:val="00660810"/>
    <w:rsid w:val="006669AD"/>
    <w:rsid w:val="006A2B3D"/>
    <w:rsid w:val="00723926"/>
    <w:rsid w:val="00784D58"/>
    <w:rsid w:val="008469DF"/>
    <w:rsid w:val="008C01D6"/>
    <w:rsid w:val="008C31BE"/>
    <w:rsid w:val="008D6863"/>
    <w:rsid w:val="00922E99"/>
    <w:rsid w:val="00970875"/>
    <w:rsid w:val="00A81D49"/>
    <w:rsid w:val="00AF77BD"/>
    <w:rsid w:val="00B07AAC"/>
    <w:rsid w:val="00B86B75"/>
    <w:rsid w:val="00BC48D5"/>
    <w:rsid w:val="00C14692"/>
    <w:rsid w:val="00C36279"/>
    <w:rsid w:val="00CB5A6B"/>
    <w:rsid w:val="00D27D20"/>
    <w:rsid w:val="00DD36C3"/>
    <w:rsid w:val="00E315A3"/>
    <w:rsid w:val="00E71D04"/>
    <w:rsid w:val="00ED5C1B"/>
    <w:rsid w:val="00EF34B1"/>
    <w:rsid w:val="00F66BB3"/>
    <w:rsid w:val="00F84C2F"/>
    <w:rsid w:val="00FF593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F5DB7"/>
    <w:pPr>
      <w:jc w:val="both"/>
    </w:pPr>
    <w:rPr>
      <w:rFonts w:ascii="Times New Roman" w:hAnsi="Times New Roman"/>
    </w:rPr>
  </w:style>
  <w:style w:styleId="Titre1" w:type="paragraph">
    <w:name w:val="heading 1"/>
    <w:basedOn w:val="Normal"/>
    <w:next w:val="Corpsdetexte"/>
    <w:uiPriority w:val="9"/>
    <w:qFormat/>
    <w:rsid w:val="00A81D49"/>
    <w:pPr>
      <w:keepNext/>
      <w:keepLines/>
      <w:spacing w:after="0" w:before="480"/>
      <w:outlineLvl w:val="0"/>
    </w:pPr>
    <w:rPr>
      <w:rFonts w:cstheme="majorBidi" w:eastAsiaTheme="majorEastAsia"/>
      <w:b/>
      <w:bCs/>
      <w:sz w:val="36"/>
      <w:szCs w:val="32"/>
      <w:u w:val="single"/>
    </w:rPr>
  </w:style>
  <w:style w:styleId="Titre2" w:type="paragraph">
    <w:name w:val="heading 2"/>
    <w:basedOn w:val="Normal"/>
    <w:next w:val="Corpsdetexte"/>
    <w:uiPriority w:val="9"/>
    <w:unhideWhenUsed/>
    <w:qFormat/>
    <w:rsid w:val="00A81D49"/>
    <w:pPr>
      <w:keepNext/>
      <w:keepLines/>
      <w:spacing w:after="0" w:before="200"/>
      <w:outlineLvl w:val="1"/>
    </w:pPr>
    <w:rPr>
      <w:rFonts w:cstheme="majorBidi" w:eastAsiaTheme="majorEastAsia"/>
      <w:b/>
      <w:bCs/>
      <w:sz w:val="32"/>
      <w:szCs w:val="32"/>
    </w:rPr>
  </w:style>
  <w:style w:styleId="Titre3" w:type="paragraph">
    <w:name w:val="heading 3"/>
    <w:basedOn w:val="Normal"/>
    <w:next w:val="Corpsdetexte"/>
    <w:uiPriority w:val="9"/>
    <w:unhideWhenUsed/>
    <w:qFormat/>
    <w:rsid w:val="00A81D49"/>
    <w:pPr>
      <w:keepNext/>
      <w:keepLines/>
      <w:spacing w:after="0" w:before="200"/>
      <w:outlineLvl w:val="2"/>
    </w:pPr>
    <w:rPr>
      <w:rFonts w:cstheme="majorBidi" w:eastAsiaTheme="majorEastAsia"/>
      <w:bCs/>
      <w:sz w:val="28"/>
      <w:szCs w:val="28"/>
    </w:rPr>
  </w:style>
  <w:style w:styleId="Titre4" w:type="paragraph">
    <w:name w:val="heading 4"/>
    <w:basedOn w:val="Normal"/>
    <w:next w:val="Corpsdetexte"/>
    <w:uiPriority w:val="9"/>
    <w:unhideWhenUsed/>
    <w:qFormat/>
    <w:rsid w:val="00A81D49"/>
    <w:pPr>
      <w:keepNext/>
      <w:keepLines/>
      <w:spacing w:after="0" w:before="200"/>
      <w:outlineLvl w:val="3"/>
    </w:pPr>
    <w:rPr>
      <w:rFonts w:cstheme="majorBidi" w:eastAsiaTheme="majorEastAsia"/>
      <w:b/>
      <w:bCs/>
    </w:rPr>
  </w:style>
  <w:style w:styleId="Titre5" w:type="paragraph">
    <w:name w:val="heading 5"/>
    <w:basedOn w:val="Normal"/>
    <w:next w:val="Corpsdetexte"/>
    <w:uiPriority w:val="9"/>
    <w:unhideWhenUsed/>
    <w:qFormat/>
    <w:rsid w:val="00A81D49"/>
    <w:pPr>
      <w:keepNext/>
      <w:keepLines/>
      <w:spacing w:after="0" w:before="200"/>
      <w:outlineLvl w:val="4"/>
    </w:pPr>
    <w:rPr>
      <w:rFonts w:cstheme="majorBidi" w:eastAsiaTheme="majorEastAsia"/>
      <w:iCs/>
    </w:rPr>
  </w:style>
  <w:style w:styleId="Titre6" w:type="paragraph">
    <w:name w:val="heading 6"/>
    <w:basedOn w:val="Titre5"/>
    <w:next w:val="Corpsdetexte"/>
    <w:uiPriority w:val="9"/>
    <w:unhideWhenUsed/>
    <w:qFormat/>
    <w:rsid w:val="00140A00"/>
    <w:pPr>
      <w:numPr>
        <w:ilvl w:val="5"/>
      </w:numPr>
      <w:outlineLvl w:val="5"/>
    </w:pPr>
  </w:style>
  <w:style w:styleId="Titre7" w:type="paragraph">
    <w:name w:val="heading 7"/>
    <w:basedOn w:val="Titre6"/>
    <w:next w:val="Corpsdetexte"/>
    <w:uiPriority w:val="9"/>
    <w:unhideWhenUsed/>
    <w:qFormat/>
    <w:rsid w:val="00140A00"/>
    <w:pPr>
      <w:outlineLvl w:val="6"/>
    </w:pPr>
  </w:style>
  <w:style w:styleId="Titre8" w:type="paragraph">
    <w:name w:val="heading 8"/>
    <w:basedOn w:val="Titre7"/>
    <w:next w:val="Corpsdetexte"/>
    <w:uiPriority w:val="9"/>
    <w:unhideWhenUsed/>
    <w:qFormat/>
    <w:rsid w:val="003B301E"/>
    <w:pPr>
      <w:numPr>
        <w:ilvl w:val="0"/>
      </w:numPr>
      <w:outlineLvl w:val="7"/>
    </w:pPr>
    <w:rPr>
      <w:b/>
      <w:sz w:val="32"/>
    </w:rPr>
  </w:style>
  <w:style w:styleId="Titre9" w:type="paragraph">
    <w:name w:val="heading 9"/>
    <w:basedOn w:val="Titre8"/>
    <w:next w:val="Corpsdetexte"/>
    <w:uiPriority w:val="9"/>
    <w:unhideWhenUsed/>
    <w:qFormat/>
    <w:rsid w:val="00922E99"/>
    <w:pPr>
      <w:outlineLvl w:val="8"/>
    </w:pPr>
    <w:rPr>
      <w:sz w:val="36"/>
      <w:u w:val="single"/>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rsid w:val="00370325"/>
    <w:pPr>
      <w:spacing w:after="180" w:before="180"/>
    </w:pPr>
    <w:rPr>
      <w:sz w:val="22"/>
    </w:rPr>
  </w:style>
  <w:style w:customStyle="1" w:styleId="FirstParagraph" w:type="paragraph">
    <w:name w:val="First Paragraph"/>
    <w:basedOn w:val="Corpsdetexte"/>
    <w:next w:val="Corpsdetexte"/>
    <w:qFormat/>
    <w:rsid w:val="004F5DB7"/>
  </w:style>
  <w:style w:customStyle="1" w:styleId="Compact" w:type="paragraph">
    <w:name w:val="Compact"/>
    <w:basedOn w:val="Corpsdetexte"/>
    <w:qFormat/>
    <w:pPr>
      <w:spacing w:after="36" w:before="36"/>
    </w:pPr>
  </w:style>
  <w:style w:styleId="Titre" w:type="paragraph">
    <w:name w:val="Title"/>
    <w:basedOn w:val="Normal"/>
    <w:next w:val="Corpsdetexte"/>
    <w:qFormat/>
    <w:rsid w:val="00CB5A6B"/>
    <w:pPr>
      <w:keepNext/>
      <w:keepLines/>
      <w:spacing w:after="240" w:before="480"/>
      <w:jc w:val="center"/>
    </w:pPr>
    <w:rPr>
      <w:rFonts w:cstheme="majorBidi" w:eastAsiaTheme="majorEastAsia"/>
      <w:b/>
      <w:bCs/>
      <w:sz w:val="44"/>
      <w:szCs w:val="36"/>
    </w:rPr>
  </w:style>
  <w:style w:styleId="Sous-titre" w:type="paragraph">
    <w:name w:val="Subtitle"/>
    <w:basedOn w:val="Titre"/>
    <w:next w:val="Corpsdetexte"/>
    <w:qFormat/>
    <w:pPr>
      <w:spacing w:before="240"/>
    </w:pPr>
    <w:rPr>
      <w:sz w:val="30"/>
      <w:szCs w:val="30"/>
    </w:rPr>
  </w:style>
  <w:style w:customStyle="1" w:styleId="Author" w:type="paragraph">
    <w:name w:val="Author"/>
    <w:next w:val="Corpsdetexte"/>
    <w:qFormat/>
    <w:rsid w:val="00CB5A6B"/>
    <w:pPr>
      <w:keepNext/>
      <w:keepLines/>
      <w:jc w:val="center"/>
    </w:pPr>
    <w:rPr>
      <w:rFonts w:ascii="Times New Roman" w:hAnsi="Times New Roman"/>
    </w:rPr>
  </w:style>
  <w:style w:styleId="Date" w:type="paragraph">
    <w:name w:val="Date"/>
    <w:next w:val="Corpsdetexte"/>
    <w:qFormat/>
    <w:rsid w:val="00CB5A6B"/>
    <w:pPr>
      <w:keepNext/>
      <w:keepLines/>
      <w:jc w:val="center"/>
    </w:pPr>
    <w:rPr>
      <w:rFonts w:ascii="Times New Roman" w:hAnsi="Times New Roman"/>
    </w:r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FirstParagraph"/>
    <w:qFormat/>
    <w:rsid w:val="008C31BE"/>
  </w:style>
  <w:style w:styleId="Normalcentr" w:type="paragraph">
    <w:name w:val="Block Text"/>
    <w:basedOn w:val="Corpsdetexte"/>
    <w:next w:val="Corpsdetexte"/>
    <w:uiPriority w:val="9"/>
    <w:unhideWhenUsed/>
    <w:qFormat/>
    <w:rsid w:val="00140A00"/>
    <w:pPr>
      <w:spacing w:after="100" w:before="100"/>
    </w:pPr>
    <w:rPr>
      <w:rFonts w:cstheme="majorBidi" w:eastAsiaTheme="majorEastAsia"/>
      <w:bCs/>
      <w:sz w:val="20"/>
      <w:szCs w:val="20"/>
    </w:rPr>
  </w:style>
  <w:style w:styleId="Notedebasdepag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pPr>
      <w:keepNext/>
    </w:pPr>
  </w:style>
  <w:style w:customStyle="1" w:styleId="ImageCaption" w:type="paragraph">
    <w:name w:val="Image Caption"/>
    <w:basedOn w:val="Lgende"/>
    <w:rsid w:val="00EF34B1"/>
    <w:pPr>
      <w:spacing w:after="240" w:before="120"/>
    </w:pPr>
  </w:style>
  <w:style w:customStyle="1" w:styleId="Fig" w:type="paragraph">
    <w:name w:val="Fig."/>
    <w:basedOn w:val="Normal"/>
  </w:style>
  <w:style w:customStyle="1" w:styleId="CaptionedFigure" w:type="paragraph">
    <w:name w:val="Captioned Figure"/>
    <w:basedOn w:val="Fig"/>
    <w:pPr>
      <w:keepNext/>
    </w:pPr>
  </w:style>
  <w:style w:customStyle="1" w:styleId="LgendeCar" w:type="character">
    <w:name w:val="Légende Car"/>
    <w:basedOn w:val="Policepardfaut"/>
    <w:link w:val="Lgende"/>
  </w:style>
  <w:style w:customStyle="1" w:styleId="VerbatimChar" w:type="character">
    <w:name w:val="Verbatim Char"/>
    <w:basedOn w:val="LgendeCar"/>
    <w:link w:val="SourceCode"/>
    <w:rPr>
      <w:rFonts w:ascii="Consolas" w:hAnsi="Consolas"/>
      <w:sz w:val="22"/>
    </w:rPr>
  </w:style>
  <w:style w:styleId="Appelnotedebasdep" w:type="character">
    <w:name w:val="footnote reference"/>
    <w:basedOn w:val="LgendeCar"/>
    <w:rPr>
      <w:vertAlign w:val="superscript"/>
    </w:rPr>
  </w:style>
  <w:style w:styleId="Lienhypertexte" w:type="character">
    <w:name w:val="Hyperlink"/>
    <w:basedOn w:val="LgendeCar"/>
    <w:rPr>
      <w:color w:themeColor="accent1" w:val="4F81BD"/>
    </w:rPr>
  </w:style>
  <w:style w:styleId="En-ttedetabledesmatires" w:type="paragraph">
    <w:name w:val="TOC Heading"/>
    <w:basedOn w:val="Titre1"/>
    <w:next w:val="Corpsdetexte"/>
    <w:uiPriority w:val="39"/>
    <w:unhideWhenUsed/>
    <w:qFormat/>
    <w:rsid w:val="00CB5A6B"/>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CorpsdetexteCar" w:type="character">
    <w:name w:val="Corps de texte Car"/>
    <w:basedOn w:val="Policepardfaut"/>
    <w:link w:val="Corpsdetexte"/>
    <w:rsid w:val="00370325"/>
    <w:rPr>
      <w:rFonts w:ascii="Times New Roman" w:hAnsi="Times New Roman"/>
      <w:sz w:val="22"/>
    </w:rPr>
  </w:style>
  <w:style w:styleId="Numrodeligne" w:type="character">
    <w:name w:val="line number"/>
    <w:basedOn w:val="Policepardfaut"/>
    <w:semiHidden/>
    <w:unhideWhenUsed/>
    <w:rsid w:val="00E71D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111" Target="media/rId111.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86" Target="media/rId86.png" /><Relationship Type="http://schemas.openxmlformats.org/officeDocument/2006/relationships/image" Id="rId116" Target="media/rId116.png" /><Relationship Type="http://schemas.openxmlformats.org/officeDocument/2006/relationships/image" Id="rId27" Target="media/rId27.png" /><Relationship Type="http://schemas.openxmlformats.org/officeDocument/2006/relationships/image" Id="rId98" Target="media/rId98.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104" Target="media/rId104.png" /><Relationship Type="http://schemas.openxmlformats.org/officeDocument/2006/relationships/image" Id="rId92" Target="media/rId92.png" /><Relationship Type="http://schemas.openxmlformats.org/officeDocument/2006/relationships/hyperlink" Id="rId223" Target="https://doi.org/10.1002/rse2.319" TargetMode="External" /><Relationship Type="http://schemas.openxmlformats.org/officeDocument/2006/relationships/hyperlink" Id="rId144" Target="https://doi.org/10.1016/j.ecolind.2020.107018" TargetMode="External" /><Relationship Type="http://schemas.openxmlformats.org/officeDocument/2006/relationships/hyperlink" Id="rId221" Target="https://doi.org/10.1016/j.ecolind.2021.108033" TargetMode="External" /><Relationship Type="http://schemas.openxmlformats.org/officeDocument/2006/relationships/hyperlink" Id="rId197" Target="https://doi.org/10.1016/j.ecoser.2022.101414" TargetMode="External" /><Relationship Type="http://schemas.openxmlformats.org/officeDocument/2006/relationships/hyperlink" Id="rId209" Target="https://doi.org/10.1016/j.marpolbul.2017.06.075" TargetMode="External" /><Relationship Type="http://schemas.openxmlformats.org/officeDocument/2006/relationships/hyperlink" Id="rId217" Target="https://doi.org/10.1016/j.ress.2015.05.018" TargetMode="External" /><Relationship Type="http://schemas.openxmlformats.org/officeDocument/2006/relationships/hyperlink" Id="rId225" Target="https://doi.org/10.1016/j.rse.2020.112020" TargetMode="External" /><Relationship Type="http://schemas.openxmlformats.org/officeDocument/2006/relationships/hyperlink" Id="rId146" Target="https://doi.org/10.1016/j.rse.2023.113554" TargetMode="External" /><Relationship Type="http://schemas.openxmlformats.org/officeDocument/2006/relationships/hyperlink" Id="rId176" Target="https://doi.org/10.1111/GCB.14108" TargetMode="External" /><Relationship Type="http://schemas.openxmlformats.org/officeDocument/2006/relationships/hyperlink" Id="rId135" Target="https://doi.org/10.1139/cjfas-2016-0137" TargetMode="External" /><Relationship Type="http://schemas.openxmlformats.org/officeDocument/2006/relationships/hyperlink" Id="rId150" Target="https://doi.org/10.15468/n4ak6x" TargetMode="External" /><Relationship Type="http://schemas.openxmlformats.org/officeDocument/2006/relationships/hyperlink" Id="rId202" Target="https://doi.org/10.2307/2657019" TargetMode="External" /><Relationship Type="http://schemas.openxmlformats.org/officeDocument/2006/relationships/hyperlink" Id="rId193" Target="https://doi.org/10.3389/fmars.2022.1004012" TargetMode="External" /><Relationship Type="http://schemas.openxmlformats.org/officeDocument/2006/relationships/hyperlink" Id="rId133" Target="https://doi.org/10.3390/RS14020307" TargetMode="External" /><Relationship Type="http://schemas.openxmlformats.org/officeDocument/2006/relationships/hyperlink" Id="rId200" Target="https://doi.org/10.3390/rs13081408" TargetMode="External" /><Relationship Type="http://schemas.openxmlformats.org/officeDocument/2006/relationships/hyperlink" Id="rId153" Target="https://doi.org/10.3390/rs14020346" TargetMode="External" /><Relationship Type="http://schemas.openxmlformats.org/officeDocument/2006/relationships/hyperlink" Id="rId127"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223" Target="https://doi.org/10.1002/rse2.319" TargetMode="External" /><Relationship Type="http://schemas.openxmlformats.org/officeDocument/2006/relationships/hyperlink" Id="rId144" Target="https://doi.org/10.1016/j.ecolind.2020.107018" TargetMode="External" /><Relationship Type="http://schemas.openxmlformats.org/officeDocument/2006/relationships/hyperlink" Id="rId221" Target="https://doi.org/10.1016/j.ecolind.2021.108033" TargetMode="External" /><Relationship Type="http://schemas.openxmlformats.org/officeDocument/2006/relationships/hyperlink" Id="rId197" Target="https://doi.org/10.1016/j.ecoser.2022.101414" TargetMode="External" /><Relationship Type="http://schemas.openxmlformats.org/officeDocument/2006/relationships/hyperlink" Id="rId209" Target="https://doi.org/10.1016/j.marpolbul.2017.06.075" TargetMode="External" /><Relationship Type="http://schemas.openxmlformats.org/officeDocument/2006/relationships/hyperlink" Id="rId217" Target="https://doi.org/10.1016/j.ress.2015.05.018" TargetMode="External" /><Relationship Type="http://schemas.openxmlformats.org/officeDocument/2006/relationships/hyperlink" Id="rId225" Target="https://doi.org/10.1016/j.rse.2020.112020" TargetMode="External" /><Relationship Type="http://schemas.openxmlformats.org/officeDocument/2006/relationships/hyperlink" Id="rId146" Target="https://doi.org/10.1016/j.rse.2023.113554" TargetMode="External" /><Relationship Type="http://schemas.openxmlformats.org/officeDocument/2006/relationships/hyperlink" Id="rId176" Target="https://doi.org/10.1111/GCB.14108" TargetMode="External" /><Relationship Type="http://schemas.openxmlformats.org/officeDocument/2006/relationships/hyperlink" Id="rId135" Target="https://doi.org/10.1139/cjfas-2016-0137" TargetMode="External" /><Relationship Type="http://schemas.openxmlformats.org/officeDocument/2006/relationships/hyperlink" Id="rId150" Target="https://doi.org/10.15468/n4ak6x" TargetMode="External" /><Relationship Type="http://schemas.openxmlformats.org/officeDocument/2006/relationships/hyperlink" Id="rId202" Target="https://doi.org/10.2307/2657019" TargetMode="External" /><Relationship Type="http://schemas.openxmlformats.org/officeDocument/2006/relationships/hyperlink" Id="rId193" Target="https://doi.org/10.3389/fmars.2022.1004012" TargetMode="External" /><Relationship Type="http://schemas.openxmlformats.org/officeDocument/2006/relationships/hyperlink" Id="rId133" Target="https://doi.org/10.3390/RS14020307" TargetMode="External" /><Relationship Type="http://schemas.openxmlformats.org/officeDocument/2006/relationships/hyperlink" Id="rId200" Target="https://doi.org/10.3390/rs13081408" TargetMode="External" /><Relationship Type="http://schemas.openxmlformats.org/officeDocument/2006/relationships/hyperlink" Id="rId153" Target="https://doi.org/10.3390/rs14020346" TargetMode="External" /><Relationship Type="http://schemas.openxmlformats.org/officeDocument/2006/relationships/hyperlink" Id="rId127"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16</Pages>
  <Words>4696</Words>
  <Characters>25829</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Functional Paper</vt:lpstr>
    </vt:vector>
  </TitlesOfParts>
  <Company>Plymouth University</Company>
  <LinksUpToDate>false</LinksUpToDate>
  <CharactersWithSpaces>30465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2024-11-12T16:42:01Z</dcterms:created>
  <dcterms:modified xsi:type="dcterms:W3CDTF">2024-11-12T16:42:01Z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extremly high spatial resolution; the low altitude flights were used to train a Neural Network classifier to discrimintate five taxonomic classes of intertidal vegetation: Magnoliopsida (Seagrass), Chlorophyceae (Green macroalgae), Phaeophyceae (Brown algae), Rhodophyceae (Red macroalgae) and benthic Bacillariophyceae (Diatoms), and validated using concomitant field measurements. Classification of drone imagery resulted in an overall accuracy of 94% across all sites and images, covering a total area of 467 000 m². The model exhibited an accuracy of 96.4% in identifying seagrass. In particular , seagrass and green algae can be discriminated. The very high spatial resolution of the drone data made it possible to assess the influence of spatial resolution on the classification outputs, showing a limited loss in seagrass detection up to about 10m. Altogether, out findings suggest that the Multi-Spectral Instrument (MSI) onboard Sentinel-2 offers a relevant trade-off between its spatial and spectral resolution,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2024-11-12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